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4A7C" w14:textId="77777777" w:rsidR="001A5FF2" w:rsidRDefault="00000000">
      <w:pPr>
        <w:spacing w:after="80"/>
        <w:jc w:val="center"/>
      </w:pPr>
      <w:r>
        <w:rPr>
          <w:b/>
          <w:bCs/>
        </w:rPr>
        <w:t>Oskar Skorge 20000414-4515</w:t>
      </w:r>
    </w:p>
    <w:p w14:paraId="14E43491" w14:textId="77777777" w:rsidR="001A5FF2" w:rsidRDefault="00000000">
      <w:pPr>
        <w:spacing w:after="80"/>
        <w:jc w:val="center"/>
      </w:pPr>
      <w:r>
        <w:rPr>
          <w:sz w:val="22"/>
          <w:szCs w:val="22"/>
        </w:rPr>
        <w:t>Advanced Analysis of Economic Change</w:t>
      </w:r>
    </w:p>
    <w:p w14:paraId="11C15706" w14:textId="77777777" w:rsidR="001A5FF2" w:rsidRDefault="00000000">
      <w:pPr>
        <w:spacing w:after="320"/>
        <w:jc w:val="center"/>
      </w:pPr>
      <w:r>
        <w:rPr>
          <w:sz w:val="22"/>
          <w:szCs w:val="22"/>
        </w:rPr>
        <w:t>18.03.2026</w:t>
      </w:r>
    </w:p>
    <w:p w14:paraId="41344B6F" w14:textId="77777777" w:rsidR="001A5FF2" w:rsidRDefault="00000000">
      <w:pPr>
        <w:spacing w:after="480"/>
        <w:jc w:val="center"/>
      </w:pPr>
      <w:r>
        <w:rPr>
          <w:b/>
          <w:bCs/>
          <w:sz w:val="28"/>
          <w:szCs w:val="28"/>
        </w:rPr>
        <w:t>Chicken or the Egg? Intergenerational Patterns and Directionalities of Wealth and Income</w:t>
      </w:r>
    </w:p>
    <w:p w14:paraId="0E3EBB64" w14:textId="77777777" w:rsidR="001A5FF2" w:rsidRDefault="00000000">
      <w:pPr>
        <w:pStyle w:val="Heading1"/>
        <w:spacing w:after="200"/>
      </w:pPr>
      <w:r>
        <w:t>Introduction</w:t>
      </w:r>
    </w:p>
    <w:p w14:paraId="17A7AB8B" w14:textId="6DD4F665" w:rsidR="001A5FF2" w:rsidRDefault="00000000">
      <w:pPr>
        <w:spacing w:after="200" w:line="276" w:lineRule="auto"/>
        <w:jc w:val="both"/>
      </w:pPr>
      <w:r>
        <w:t xml:space="preserve">A central question in the economics of inequality is whether wealth begets income across generations, or whether the observed correlation between family wealth and offspring earnings reflects omitted confounders. Toney and Robertson (2021) contribute to this debate by examining how parental and grandparental wealth influence the younger generation’s income, using </w:t>
      </w:r>
      <w:r w:rsidR="001455F5">
        <w:t xml:space="preserve">data from the </w:t>
      </w:r>
      <w:r>
        <w:t>Panel Study of Income Dynamics (PSID) spanning 1984–2017. Their two-stage least squares (2SLS) design instruments the child’s stock holdings with extended family wealth, estimating that a one per cent increase in stock value raises household income by 0.18–0.25 per cent. They complement this with an Oaxaca-Blinder decomposition showing that endowment differences—principally family background—account for the majority of the Black-White income gap.</w:t>
      </w:r>
    </w:p>
    <w:p w14:paraId="166CC086" w14:textId="35BF7C04" w:rsidR="001A5FF2" w:rsidRDefault="00000000">
      <w:pPr>
        <w:spacing w:after="200" w:line="276" w:lineRule="auto"/>
        <w:jc w:val="both"/>
      </w:pPr>
      <w:r>
        <w:t xml:space="preserve">The paper speaks to a growing literature on multigenerational wealth transmission. </w:t>
      </w:r>
      <w:bookmarkStart w:id="0" w:name="OLE_LINK1"/>
      <w:r>
        <w:t xml:space="preserve">Bleakley and Ferrie (2016) exploit a natural experiment in antebellum Georgia to show that random wealth windfalls had limited effects on human capital in subsequent generations, raising questions about how durable wealth-to-income transmission channels truly are. Aizer et al. (2016) find that cash transfers to poor families during the early twentieth century significantly improved children’s longevity and adult income, suggesting that financial resources do matter but that the mechanism may operate through consumption smoothing and health rather than asset accumulation alone. The distinction matters: Toney and Robertson’s identification strategy assumes that parental wealth affects child income </w:t>
      </w:r>
      <w:r>
        <w:rPr>
          <w:i/>
          <w:iCs/>
        </w:rPr>
        <w:t>exclusively</w:t>
      </w:r>
      <w:r>
        <w:t xml:space="preserve"> through stock holdings—a far narrower channel than the broader mechanisms identified in these studies.</w:t>
      </w:r>
    </w:p>
    <w:bookmarkEnd w:id="0"/>
    <w:p w14:paraId="6522A407" w14:textId="4D43C8F8" w:rsidR="001A5FF2" w:rsidRDefault="00000000">
      <w:pPr>
        <w:spacing w:after="200" w:line="276" w:lineRule="auto"/>
        <w:jc w:val="both"/>
      </w:pPr>
      <w:r>
        <w:t>This replication proceeds in three parts. First, we reproduce the core empirical results—the 2SLS estimates (Tables 1–2), the first-stage regressions (Tables 3–4), and the Oaxaca-Blinder decomposition (Table 5). Second, we evaluate the identification strategy, focusing on the exclusion restriction. Third, we extend the analysis by re-specifying the instrumental</w:t>
      </w:r>
      <w:r w:rsidR="001455F5">
        <w:t>-</w:t>
      </w:r>
      <w:r>
        <w:t xml:space="preserve">variables design with a more defensible partition of controls and instruments and report standard IV diagnostics </w:t>
      </w:r>
      <w:r w:rsidR="001455F5">
        <w:t xml:space="preserve">that were </w:t>
      </w:r>
      <w:r>
        <w:t>absent from the original paper.</w:t>
      </w:r>
    </w:p>
    <w:p w14:paraId="7CFB8817" w14:textId="77777777" w:rsidR="001A5FF2" w:rsidRDefault="00000000">
      <w:pPr>
        <w:pStyle w:val="Heading1"/>
        <w:spacing w:after="200"/>
      </w:pPr>
      <w:r>
        <w:t>1. Replication</w:t>
      </w:r>
    </w:p>
    <w:p w14:paraId="58A0DB9B" w14:textId="77777777" w:rsidR="001A5FF2" w:rsidRDefault="00000000">
      <w:pPr>
        <w:spacing w:before="280" w:after="160"/>
      </w:pPr>
      <w:r>
        <w:rPr>
          <w:b/>
          <w:bCs/>
          <w:i/>
          <w:iCs/>
        </w:rPr>
        <w:t>1.1 The Wealth–Income Relationship</w:t>
      </w:r>
    </w:p>
    <w:p w14:paraId="2E15AFE3" w14:textId="77777777" w:rsidR="001A5FF2" w:rsidRDefault="00000000">
      <w:pPr>
        <w:spacing w:after="200" w:line="276" w:lineRule="auto"/>
        <w:jc w:val="both"/>
      </w:pPr>
      <w:r>
        <w:lastRenderedPageBreak/>
        <w:t xml:space="preserve">Table 1 reports our second-stage 2SLS estimates. Across all three generational linkages—parent-child, paternal grandparent-grandchild, and maternal grandparent-grandchild—the instrumented stock coefficient is positive and highly significant. Our point estimates (0.306, 0.259, 0.229) are systematically larger than those reported in the original paper (0.252, 0.220, 0.183), as documented in the comparison in Table 2. These discrepancies are attributable to a methodological difference: the original employs Stata’s </w:t>
      </w:r>
      <w:r>
        <w:rPr>
          <w:rFonts w:ascii="Courier New" w:eastAsia="Courier New" w:hAnsi="Courier New" w:cs="Courier New"/>
          <w:sz w:val="22"/>
          <w:szCs w:val="22"/>
        </w:rPr>
        <w:t>xtivreg</w:t>
      </w:r>
      <w:r>
        <w:t xml:space="preserve"> random-effects EC2SLS estimator (Baltagi 1981), which accounts for the panel error structure, whereas our R implementation uses pooled 2SLS via </w:t>
      </w:r>
      <w:r>
        <w:rPr>
          <w:rFonts w:ascii="Courier New" w:eastAsia="Courier New" w:hAnsi="Courier New" w:cs="Courier New"/>
          <w:sz w:val="22"/>
          <w:szCs w:val="22"/>
        </w:rPr>
        <w:t>ivreg</w:t>
      </w:r>
      <w:r>
        <w:t xml:space="preserve"> with cluster-robust standard errors. Despite these differences, the qualitative pattern is preserved: the stock-income elasticity is largest for parent-child pairs and smallest for the maternal grandparent lineage, consistent with the hypothesis that wealth transmission attenuates across generations.</w:t>
      </w:r>
    </w:p>
    <w:p w14:paraId="1109647F" w14:textId="77777777" w:rsidR="001A5FF2" w:rsidRDefault="00000000">
      <w:pPr>
        <w:spacing w:after="200" w:line="276" w:lineRule="auto"/>
        <w:jc w:val="both"/>
      </w:pPr>
      <w:r>
        <w:t>The first-stage results (Tables 3–4) confirm that parental wealth is a significant predictor of children’s stock holdings in the parent-child sample (coefficient: 0.029, p &lt; 0.01), while the grandparental wealth coefficient is weaker and only marginally significant in the maternal lineage. Pension ownership emerges as the strongest single predictor of stock holdings across all samples, consistent with the interpretation that financial sophistication and institutional access to capital markets are important mediators.</w:t>
      </w:r>
    </w:p>
    <w:p w14:paraId="30610520" w14:textId="77777777" w:rsidR="001A5FF2" w:rsidRDefault="00000000">
      <w:pPr>
        <w:spacing w:before="280" w:after="160"/>
      </w:pPr>
      <w:r>
        <w:rPr>
          <w:b/>
          <w:bCs/>
          <w:i/>
          <w:iCs/>
        </w:rPr>
        <w:t>1.2 Racial Decomposition</w:t>
      </w:r>
    </w:p>
    <w:p w14:paraId="150E5DD1" w14:textId="77777777" w:rsidR="001A5FF2" w:rsidRDefault="00000000">
      <w:pPr>
        <w:spacing w:after="200" w:line="276" w:lineRule="auto"/>
        <w:jc w:val="both"/>
      </w:pPr>
      <w:r>
        <w:t>The Oaxaca-Blinder decomposition (Table 5) decomposes the Black-White income gap in 2017 into endowment, coefficient, and interaction components. Across all three generational samples, endowments account for the majority of the gap—ranging from 0.50 in the parent-child sample to 0.75 in the paternal grandparent sample. This finding is consistent with the broader literature on racial wealth disparities (Darity and Mullen 2020) and suggests that differences in observable family characteristics, rather than differences in returns to those characteristics, are the primary driver of income inequality between racial groups. Figure 1 illustrates the distributional shift: the Black income distribution is shifted leftward relative to the White distribution, with a particularly pronounced gap in the upper tail.</w:t>
      </w:r>
    </w:p>
    <w:p w14:paraId="6331CF73" w14:textId="77777777" w:rsidR="001A5FF2" w:rsidRDefault="00000000">
      <w:pPr>
        <w:pStyle w:val="Heading1"/>
        <w:spacing w:after="200"/>
      </w:pPr>
      <w:r>
        <w:t>2. Critical Evaluation</w:t>
      </w:r>
    </w:p>
    <w:p w14:paraId="08F05548" w14:textId="5EBBE36E" w:rsidR="001A5FF2" w:rsidRDefault="00000000">
      <w:pPr>
        <w:spacing w:after="200" w:line="276" w:lineRule="auto"/>
        <w:jc w:val="both"/>
      </w:pPr>
      <w:r>
        <w:t xml:space="preserve">The </w:t>
      </w:r>
      <w:r w:rsidR="00E92564">
        <w:t xml:space="preserve">paper’s </w:t>
      </w:r>
      <w:r>
        <w:t>central vulnerability lies in its identification strategy. For the 2SLS estimates to be interpretable as causal, the exclusion restriction must hold: all variables in the first-stage instrument set C’</w:t>
      </w:r>
      <w:r>
        <w:rPr>
          <w:vertAlign w:val="subscript"/>
        </w:rPr>
        <w:t>it</w:t>
      </w:r>
      <w:r>
        <w:t xml:space="preserve"> that are excluded from the second-stage equation must affect household income </w:t>
      </w:r>
      <w:r>
        <w:rPr>
          <w:i/>
          <w:iCs/>
        </w:rPr>
        <w:t>only</w:t>
      </w:r>
      <w:r>
        <w:t xml:space="preserve"> through their effect on stock holdings. Inspecting the specification reveals that the second stage controls for age, age squared, and race alone. The child’s own education, employment status, professional occupation, marital status, sex, and number of children are all treated as excluded instruments.</w:t>
      </w:r>
    </w:p>
    <w:p w14:paraId="07047138" w14:textId="48BAF609" w:rsidR="001A5FF2" w:rsidRDefault="00000000">
      <w:pPr>
        <w:spacing w:after="200" w:line="276" w:lineRule="auto"/>
        <w:jc w:val="both"/>
      </w:pPr>
      <w:r>
        <w:lastRenderedPageBreak/>
        <w:t xml:space="preserve">This is difficult to defend. Educational attainment is among the most robust predictors of individual earnings through human capital accumulation—Feigenbaum and Tan (2020) estimate substantial returns to schooling even in mid-twentieth-century cohorts. Employment status is mechanically linked to income: it captures labour supply and is arguably a component of income itself. Marital status affects household income through spousal earnings and economies of scale. Treating these variables as valid instruments requires assuming they have zero direct effect on income conditional on stock holdings, </w:t>
      </w:r>
      <w:r w:rsidR="00E92564">
        <w:t>which</w:t>
      </w:r>
      <w:r>
        <w:t xml:space="preserve"> contradicts basic labour economics.</w:t>
      </w:r>
    </w:p>
    <w:p w14:paraId="50781E73" w14:textId="77777777" w:rsidR="001A5FF2" w:rsidRDefault="00000000">
      <w:pPr>
        <w:spacing w:after="200" w:line="276" w:lineRule="auto"/>
        <w:jc w:val="both"/>
      </w:pPr>
      <w:r>
        <w:t>Moreover, the paper reports no formal instrument diagnostics. With over 15 excluded instruments for a single endogenous variable, the model is heavily over-identified, making the Sargan/Hansen J-test both feasible and important. Table 6 reports our diagnostics for the original specification. The first-stage F-statistic of 104.2 indicates strong instrument relevance, and the Wu-Hausman test confirms the endogeneity of stock holdings. Critically, however, the Sargan test statistic is 931.7 (p ≈ 0.000), constituting a decisive rejection of the null that all instruments are valid. This provides formal statistical evidence that the exclusion restriction fails—at least one instrument has a direct effect on income beyond the stock-holdings channel.</w:t>
      </w:r>
    </w:p>
    <w:p w14:paraId="2B3508F5" w14:textId="77777777" w:rsidR="001A5FF2" w:rsidRDefault="00000000">
      <w:pPr>
        <w:pStyle w:val="Heading1"/>
        <w:spacing w:after="200"/>
      </w:pPr>
      <w:r>
        <w:t>3. Extension: A Corrected Specification</w:t>
      </w:r>
    </w:p>
    <w:p w14:paraId="2CA5570D" w14:textId="5F5B4F30" w:rsidR="001A5FF2" w:rsidRDefault="00000000">
      <w:pPr>
        <w:spacing w:after="200" w:line="276" w:lineRule="auto"/>
        <w:jc w:val="both"/>
      </w:pPr>
      <w:r>
        <w:t>We re-specify the 2SLS model by moving the child’s own characteristics</w:t>
      </w:r>
      <w:r w:rsidR="00E92564">
        <w:t xml:space="preserve">, </w:t>
      </w:r>
      <w:r>
        <w:t>education, employment, occupation, marital status, sex, and number of children</w:t>
      </w:r>
      <w:r w:rsidR="00E92564">
        <w:t xml:space="preserve"> </w:t>
      </w:r>
      <w:r>
        <w:t xml:space="preserve">from the excluded instrument set into the second-stage structural equation, where they serve as controls. The corrected excluded instruments are parental wealth, pension ownership, homeownership, computer/internet use, risk avoidance, and year dummies. The rationale is that these variables capture financial behaviour and asset-holding propensity that predict stock ownership but, conditional on the child’s human capital and labour market characteristics, are less likely to </w:t>
      </w:r>
      <w:r w:rsidR="00E92564">
        <w:t xml:space="preserve">directly </w:t>
      </w:r>
      <w:r>
        <w:t>determine income.</w:t>
      </w:r>
    </w:p>
    <w:p w14:paraId="389E128E" w14:textId="7A962C96" w:rsidR="00E92564" w:rsidRDefault="00000000">
      <w:pPr>
        <w:spacing w:after="200" w:line="276" w:lineRule="auto"/>
        <w:jc w:val="both"/>
      </w:pPr>
      <w:r>
        <w:t>Table 7 presents the original and corrected specifications side by side for the parent-child sample. Three findings emerge. First, the stock coefficient falls from 0.306 to 0.210</w:t>
      </w:r>
      <w:r w:rsidR="00E92564">
        <w:t xml:space="preserve">, </w:t>
      </w:r>
      <w:r>
        <w:t>a reduction of approximately 31 per cent</w:t>
      </w:r>
      <w:r w:rsidR="00E92564">
        <w:t xml:space="preserve">, </w:t>
      </w:r>
      <w:r>
        <w:t xml:space="preserve">indicating that the original estimate was upward-biased by excluded instruments </w:t>
      </w:r>
      <w:r w:rsidR="00E92564">
        <w:t>that capture</w:t>
      </w:r>
      <w:r>
        <w:t xml:space="preserve"> direct income effects. </w:t>
      </w:r>
    </w:p>
    <w:p w14:paraId="5E096277" w14:textId="27DF326C" w:rsidR="001A5FF2" w:rsidRDefault="00000000">
      <w:pPr>
        <w:spacing w:after="200" w:line="276" w:lineRule="auto"/>
        <w:jc w:val="both"/>
      </w:pPr>
      <w:r>
        <w:t xml:space="preserve">The core finding survives: stock holdings remain a significant predictor of income at the 1 per cent level, but the magnitude is materially smaller. Second, the first-stage F-statistic declines from 104.2 to 75.7 but remains well above the Stock and Yogo (2005) threshold of 10, indicating adequate instrument strength. Third, the race coefficient shrinks from −0.084 (significant) to −0.024 (insignificant). In the original specification, race absorbed all systematic differences between Black and White respondents not mediated by stocks—education gaps, employment differentials, </w:t>
      </w:r>
      <w:r w:rsidR="00E92564">
        <w:t xml:space="preserve">and </w:t>
      </w:r>
      <w:r>
        <w:t>occupational segregation. Once these are explicitly controlled, the residual racial gap conditional on observables vanishes, reinforcing the Oaxaca-Blinder finding that endowment differences, rather than a pure race penalty, drive the income gap.</w:t>
      </w:r>
    </w:p>
    <w:p w14:paraId="351B2D5A" w14:textId="77777777" w:rsidR="00E92564" w:rsidRDefault="00000000">
      <w:pPr>
        <w:spacing w:after="200" w:line="276" w:lineRule="auto"/>
        <w:jc w:val="both"/>
      </w:pPr>
      <w:r>
        <w:lastRenderedPageBreak/>
        <w:t xml:space="preserve">Table 8 extends the corrected specification to all three generational samples. The pattern is consistent: the stock coefficient is significant but reduced across all columns (0.210, 0.122, 0.138). </w:t>
      </w:r>
    </w:p>
    <w:p w14:paraId="291359C8" w14:textId="3F337BA5" w:rsidR="001A5FF2" w:rsidRDefault="00000000">
      <w:pPr>
        <w:spacing w:after="200" w:line="276" w:lineRule="auto"/>
        <w:jc w:val="both"/>
      </w:pPr>
      <w:r>
        <w:t>The maternal grandparent sample approaches the weak-instrument threshold (F = 9.8), suggesting that identifying the three-generation channel with this instrument set is at the boundary of feasibility. Notably, the Sargan test continues to reject even in the corrected specification, suggesting that even the retained instruments may not be fully exogenous. This points to a deeper identification challenge that Bleakley and Ferrie (2016) also confront: isolating the causal effect of a single wealth channel on income</w:t>
      </w:r>
      <w:r w:rsidR="00E92564">
        <w:t xml:space="preserve"> is inherently difficult</w:t>
      </w:r>
      <w:r>
        <w:t xml:space="preserve">, </w:t>
      </w:r>
      <w:r w:rsidR="00E92564">
        <w:t>as</w:t>
      </w:r>
      <w:r>
        <w:t xml:space="preserve"> available instruments in observational data tend to correlate with general socioeconomic status.</w:t>
      </w:r>
    </w:p>
    <w:p w14:paraId="66680C5F" w14:textId="77777777" w:rsidR="001A5FF2" w:rsidRDefault="00000000">
      <w:pPr>
        <w:pStyle w:val="Heading1"/>
        <w:spacing w:after="200"/>
      </w:pPr>
      <w:r>
        <w:t>Conclusion</w:t>
      </w:r>
    </w:p>
    <w:p w14:paraId="40AF73A0" w14:textId="3117572D" w:rsidR="001A5FF2" w:rsidRDefault="00000000">
      <w:pPr>
        <w:spacing w:after="200" w:line="276" w:lineRule="auto"/>
        <w:jc w:val="both"/>
      </w:pPr>
      <w:r>
        <w:t>This replication confirms the qualitative findings of Toney and Robertson (2021): extended family wealth is positively associated with offspring income, and the Black-White income gap is predominantly attributable to differences in endowments. However, the identification strategy is compromised by a violat</w:t>
      </w:r>
      <w:r w:rsidR="00E92564">
        <w:t>ion of the</w:t>
      </w:r>
      <w:r>
        <w:t xml:space="preserve"> exclusion restriction. Re-specifying the model with a more defensible instrument set reduces the estimated stock-income elasticity by roughly a third while preserving its statistical significance. The finding that wealth matters for income mobility appears robust; its original magnitude does not.</w:t>
      </w:r>
    </w:p>
    <w:p w14:paraId="25F3962C" w14:textId="77777777" w:rsidR="001A5FF2" w:rsidRDefault="00000000">
      <w:pPr>
        <w:pStyle w:val="Heading1"/>
        <w:spacing w:after="200"/>
      </w:pPr>
      <w:r>
        <w:t>References</w:t>
      </w:r>
    </w:p>
    <w:p w14:paraId="0CD4CFAF" w14:textId="77777777" w:rsidR="001A5FF2" w:rsidRDefault="00000000">
      <w:pPr>
        <w:spacing w:after="200" w:line="276" w:lineRule="auto"/>
        <w:jc w:val="both"/>
      </w:pPr>
      <w:r>
        <w:rPr>
          <w:i/>
          <w:iCs/>
        </w:rPr>
        <w:t>Aizer, A., Eli, S., Ferrie, J. and Lleras-Muney, A. (2016). ‘The Long-Run Impact of Cash Transfers to Poor Families’, American Economic Review, 106(4), pp. 935–971.</w:t>
      </w:r>
    </w:p>
    <w:p w14:paraId="5B301ACE" w14:textId="77777777" w:rsidR="001A5FF2" w:rsidRDefault="00000000">
      <w:pPr>
        <w:spacing w:after="200" w:line="276" w:lineRule="auto"/>
        <w:jc w:val="both"/>
      </w:pPr>
      <w:r>
        <w:rPr>
          <w:i/>
          <w:iCs/>
        </w:rPr>
        <w:t>Baltagi, B.H. (1981). ‘Simultaneous Equations with Error Components’, Journal of Econometrics, 17(2), pp. 189–200.</w:t>
      </w:r>
    </w:p>
    <w:p w14:paraId="5F812D72" w14:textId="77777777" w:rsidR="001A5FF2" w:rsidRDefault="00000000">
      <w:pPr>
        <w:spacing w:after="200" w:line="276" w:lineRule="auto"/>
        <w:jc w:val="both"/>
      </w:pPr>
      <w:r>
        <w:rPr>
          <w:i/>
          <w:iCs/>
        </w:rPr>
        <w:t>Bleakley, H. and Ferrie, J. (2016). ‘Shocking Behavior: Random Wealth in Antebellum Georgia and Human Capital Across Generations’, Quarterly Journal of Economics, 131(3), pp. 1455–1495.</w:t>
      </w:r>
    </w:p>
    <w:p w14:paraId="79B95BBB" w14:textId="77777777" w:rsidR="001A5FF2" w:rsidRDefault="00000000">
      <w:pPr>
        <w:spacing w:after="200" w:line="276" w:lineRule="auto"/>
        <w:jc w:val="both"/>
      </w:pPr>
      <w:r>
        <w:rPr>
          <w:i/>
          <w:iCs/>
        </w:rPr>
        <w:t>Darity, W.A. and Mullen, A.K. (2020). From Here to Equality: Reparations for Black Americans in the Twenty-First Century. Chapel Hill: UNC Press.</w:t>
      </w:r>
    </w:p>
    <w:p w14:paraId="570115A9" w14:textId="77777777" w:rsidR="001A5FF2" w:rsidRDefault="00000000">
      <w:pPr>
        <w:spacing w:after="200" w:line="276" w:lineRule="auto"/>
        <w:jc w:val="both"/>
      </w:pPr>
      <w:r>
        <w:rPr>
          <w:i/>
          <w:iCs/>
        </w:rPr>
        <w:t>Feigenbaum, J.J. and Tan, H.R. (2020). ‘The Return to Education in the Mid-Twentieth Century: Evidence from Twins’, Journal of Economic History, 80(4), pp. 1101–1134.</w:t>
      </w:r>
    </w:p>
    <w:p w14:paraId="5FA8D07B" w14:textId="77777777" w:rsidR="001A5FF2" w:rsidRDefault="00000000">
      <w:pPr>
        <w:spacing w:after="200" w:line="276" w:lineRule="auto"/>
        <w:jc w:val="both"/>
      </w:pPr>
      <w:r>
        <w:rPr>
          <w:i/>
          <w:iCs/>
        </w:rPr>
        <w:t>Stock, J.H. and Yogo, M. (2005). ‘Testing for Weak Instruments in Linear IV Regression’, in Andrews, D.W.K. and Stock, J.H. (eds.) Identification and Inference for Econometric Models. Cambridge University Press, pp. 80–108.</w:t>
      </w:r>
    </w:p>
    <w:p w14:paraId="6A52E196" w14:textId="77777777" w:rsidR="001A5FF2" w:rsidRDefault="00000000">
      <w:pPr>
        <w:spacing w:after="200" w:line="276" w:lineRule="auto"/>
        <w:jc w:val="both"/>
      </w:pPr>
      <w:r>
        <w:rPr>
          <w:i/>
          <w:iCs/>
        </w:rPr>
        <w:lastRenderedPageBreak/>
        <w:t>Toney, J. and Robertson, C.L. (2021). ‘Intergenerational Economic Mobility and the Racial Wealth Gap’, American Economic Review: Papers and Proceedings, 111, pp. 80–85.</w:t>
      </w:r>
    </w:p>
    <w:sectPr w:rsidR="001A5FF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3F5D2" w14:textId="77777777" w:rsidR="005C2090" w:rsidRDefault="005C2090">
      <w:r>
        <w:separator/>
      </w:r>
    </w:p>
  </w:endnote>
  <w:endnote w:type="continuationSeparator" w:id="0">
    <w:p w14:paraId="0493B080" w14:textId="77777777" w:rsidR="005C2090" w:rsidRDefault="005C2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A5D8A" w14:textId="77777777" w:rsidR="001A5FF2" w:rsidRDefault="00000000">
    <w:pPr>
      <w:jc w:val="center"/>
    </w:pPr>
    <w:r>
      <w:rPr>
        <w:sz w:val="20"/>
        <w:szCs w:val="20"/>
      </w:rPr>
      <w:fldChar w:fldCharType="begin"/>
    </w:r>
    <w:r>
      <w:rPr>
        <w:sz w:val="20"/>
        <w:szCs w:val="20"/>
      </w:rPr>
      <w:instrText>PAGE</w:instrText>
    </w:r>
    <w:r>
      <w:rPr>
        <w:sz w:val="20"/>
        <w:szCs w:val="20"/>
      </w:rPr>
      <w:fldChar w:fldCharType="separate"/>
    </w:r>
    <w:r w:rsidR="00ED0A6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8FF23" w14:textId="77777777" w:rsidR="005C2090" w:rsidRDefault="005C2090">
      <w:r>
        <w:separator/>
      </w:r>
    </w:p>
  </w:footnote>
  <w:footnote w:type="continuationSeparator" w:id="0">
    <w:p w14:paraId="3F53F391" w14:textId="77777777" w:rsidR="005C2090" w:rsidRDefault="005C20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84285"/>
    <w:multiLevelType w:val="hybridMultilevel"/>
    <w:tmpl w:val="3364ECFC"/>
    <w:lvl w:ilvl="0" w:tplc="05585BA8">
      <w:start w:val="1"/>
      <w:numFmt w:val="bullet"/>
      <w:lvlText w:val="●"/>
      <w:lvlJc w:val="left"/>
      <w:pPr>
        <w:ind w:left="720" w:hanging="360"/>
      </w:pPr>
    </w:lvl>
    <w:lvl w:ilvl="1" w:tplc="C1A69260">
      <w:start w:val="1"/>
      <w:numFmt w:val="bullet"/>
      <w:lvlText w:val="○"/>
      <w:lvlJc w:val="left"/>
      <w:pPr>
        <w:ind w:left="1440" w:hanging="360"/>
      </w:pPr>
    </w:lvl>
    <w:lvl w:ilvl="2" w:tplc="03B6D564">
      <w:start w:val="1"/>
      <w:numFmt w:val="bullet"/>
      <w:lvlText w:val="■"/>
      <w:lvlJc w:val="left"/>
      <w:pPr>
        <w:ind w:left="2160" w:hanging="360"/>
      </w:pPr>
    </w:lvl>
    <w:lvl w:ilvl="3" w:tplc="0E30CDC8">
      <w:start w:val="1"/>
      <w:numFmt w:val="bullet"/>
      <w:lvlText w:val="●"/>
      <w:lvlJc w:val="left"/>
      <w:pPr>
        <w:ind w:left="2880" w:hanging="360"/>
      </w:pPr>
    </w:lvl>
    <w:lvl w:ilvl="4" w:tplc="E7AC45BA">
      <w:start w:val="1"/>
      <w:numFmt w:val="bullet"/>
      <w:lvlText w:val="○"/>
      <w:lvlJc w:val="left"/>
      <w:pPr>
        <w:ind w:left="3600" w:hanging="360"/>
      </w:pPr>
    </w:lvl>
    <w:lvl w:ilvl="5" w:tplc="4D3693A0">
      <w:start w:val="1"/>
      <w:numFmt w:val="bullet"/>
      <w:lvlText w:val="■"/>
      <w:lvlJc w:val="left"/>
      <w:pPr>
        <w:ind w:left="4320" w:hanging="360"/>
      </w:pPr>
    </w:lvl>
    <w:lvl w:ilvl="6" w:tplc="0DF85BD8">
      <w:start w:val="1"/>
      <w:numFmt w:val="bullet"/>
      <w:lvlText w:val="●"/>
      <w:lvlJc w:val="left"/>
      <w:pPr>
        <w:ind w:left="5040" w:hanging="360"/>
      </w:pPr>
    </w:lvl>
    <w:lvl w:ilvl="7" w:tplc="C6E86CDC">
      <w:start w:val="1"/>
      <w:numFmt w:val="bullet"/>
      <w:lvlText w:val="●"/>
      <w:lvlJc w:val="left"/>
      <w:pPr>
        <w:ind w:left="5760" w:hanging="360"/>
      </w:pPr>
    </w:lvl>
    <w:lvl w:ilvl="8" w:tplc="8CFE8228">
      <w:start w:val="1"/>
      <w:numFmt w:val="bullet"/>
      <w:lvlText w:val="●"/>
      <w:lvlJc w:val="left"/>
      <w:pPr>
        <w:ind w:left="6480" w:hanging="360"/>
      </w:pPr>
    </w:lvl>
  </w:abstractNum>
  <w:num w:numId="1" w16cid:durableId="991056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FF2"/>
    <w:rsid w:val="001455F5"/>
    <w:rsid w:val="001A5FF2"/>
    <w:rsid w:val="002475D6"/>
    <w:rsid w:val="003C09A0"/>
    <w:rsid w:val="00522B9C"/>
    <w:rsid w:val="005C2090"/>
    <w:rsid w:val="0069458B"/>
    <w:rsid w:val="00CB1AB6"/>
    <w:rsid w:val="00E92564"/>
    <w:rsid w:val="00ED0A69"/>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3A990B50"/>
  <w15:docId w15:val="{88357801-59F7-F14E-9E73-8396D3CF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semiHidden/>
    <w:unhideWhenUsed/>
    <w:qFormat/>
    <w:pPr>
      <w:spacing w:before="280" w:after="2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1570</Words>
  <Characters>9783</Characters>
  <Application>Microsoft Office Word</Application>
  <DocSecurity>0</DocSecurity>
  <Lines>137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Oskar Skorge</cp:lastModifiedBy>
  <cp:revision>4</cp:revision>
  <dcterms:created xsi:type="dcterms:W3CDTF">2026-03-19T15:06:00Z</dcterms:created>
  <dcterms:modified xsi:type="dcterms:W3CDTF">2026-03-20T08:15:00Z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73362826ea0c9febde0dd51936fd5435f086ce695465cfa55576f8e300dd8ed7</vt:lpwstr>
  </property>
</Properties>
</file>