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HESTIA_Report</w:t>
      </w:r>
    </w:p>
    <w:p>
      <w:pPr>
        <w:pStyle w:val="Author"/>
      </w:pPr>
      <w:r>
        <w:t xml:space="preserve">Oskar</w:t>
      </w:r>
      <w:r>
        <w:t xml:space="preserve"> </w:t>
      </w:r>
      <w:r>
        <w:t xml:space="preserve">Nyberg</w:t>
      </w:r>
    </w:p>
    <w:p>
      <w:pPr>
        <w:pStyle w:val="Date"/>
      </w:pPr>
      <w:r>
        <w:t xml:space="preserve">2023-03-14</w:t>
      </w:r>
    </w:p>
    <w:bookmarkStart w:id="28" w:name="hestia-database-construction."/>
    <w:p>
      <w:pPr>
        <w:pStyle w:val="Heading1"/>
      </w:pPr>
      <w:r>
        <w:t xml:space="preserve">HESTIA Database construction.</w:t>
      </w:r>
    </w:p>
    <w:p>
      <w:pPr>
        <w:pStyle w:val="FirstParagraph"/>
      </w:pPr>
      <w:r>
        <w:t xml:space="preserve">To generate EC20^EC10eq effect endpoints for chemicals i need data from EC10, EC50 as well as LC and NOEC data.</w:t>
      </w:r>
      <w:r>
        <w:t xml:space="preserve"> </w:t>
      </w:r>
      <w:r>
        <w:t xml:space="preserve">see</w:t>
      </w:r>
      <w:r>
        <w:t xml:space="preserve"> </w:t>
      </w:r>
      <w:r>
        <w:rPr>
          <w:rStyle w:val="VerbatimChar"/>
        </w:rPr>
        <w:t xml:space="preserve">data/CIR_query_CAS_to_smiles.R</w:t>
      </w:r>
      <w:r>
        <w:t xml:space="preserve"> </w:t>
      </w:r>
      <w:r>
        <w:t xml:space="preserve">for details on the treatment of input CAS numbers, how all available SMILES configurations were gathered and thereafter exported as 4k row long subsets.</w:t>
      </w:r>
      <w:r>
        <w:t xml:space="preserve"> </w:t>
      </w:r>
      <w:r>
        <w:t xml:space="preserve">This information on CAS and SMILES per substance was used as input into OECD QSAR Toolbox software where two distinct operations took place, 1) query for toxicological effect data, and 2) query for substance physicochemical data.</w:t>
      </w:r>
      <w:r>
        <w:t xml:space="preserve"> </w:t>
      </w:r>
      <w:r>
        <w:t xml:space="preserve">When importing the CAS-SMILES input into QSAR toolbox,</w:t>
      </w:r>
      <w:r>
        <w:t xml:space="preserve"> </w:t>
      </w:r>
      <w:r>
        <w:t xml:space="preserve">“</w:t>
      </w:r>
      <w:r>
        <w:t xml:space="preserve">multiplying</w:t>
      </w:r>
      <w:r>
        <w:t xml:space="preserve">”</w:t>
      </w:r>
      <w:r>
        <w:t xml:space="preserve"> </w:t>
      </w:r>
      <w:r>
        <w:t xml:space="preserve">substances are present, since QSAR toolbox includes all SMILES configurations of any CAS number. hence, 16797 substances as input -&gt; ~22k substances output.</w:t>
      </w:r>
      <w:r>
        <w:t xml:space="preserve"> </w:t>
      </w:r>
      <w:r>
        <w:t xml:space="preserve">Acquired metadata data gives an abundance of test information across 550-660 columns, although the majority of these are redundant for the current purpose. Wrangling of the raw OECD QSAR Toolbox output takes place in</w:t>
      </w:r>
      <w:r>
        <w:t xml:space="preserve"> </w:t>
      </w:r>
      <w:r>
        <w:rPr>
          <w:rStyle w:val="VerbatimChar"/>
        </w:rPr>
        <w:t xml:space="preserve">data/raw_data_read_and_wrangle.R</w:t>
      </w:r>
      <w:r>
        <w:t xml:space="preserve"> </w:t>
      </w:r>
      <w:r>
        <w:t xml:space="preserve">and is subsequently imported as a data frame for treatment and filtering.</w:t>
      </w:r>
    </w:p>
    <w:p>
      <w:pPr>
        <w:pStyle w:val="BodyText"/>
      </w:pPr>
      <w:r>
        <w:t xml:space="preserve">In several steps of these filtering operations, physicochemical data is required, which is available for</w:t>
      </w:r>
      <w:r>
        <w:t xml:space="preserve"> </w:t>
      </w:r>
      <w:r>
        <w:rPr>
          <w:bCs/>
          <w:b/>
        </w:rPr>
        <w:t xml:space="preserve">5709</w:t>
      </w:r>
      <w:r>
        <w:t xml:space="preserve"> </w:t>
      </w:r>
      <w:r>
        <w:t xml:space="preserve">substances, code loaded from file</w:t>
      </w:r>
      <w:r>
        <w:t xml:space="preserve"> </w:t>
      </w:r>
      <w:r>
        <w:t xml:space="preserve">“</w:t>
      </w:r>
      <w:r>
        <w:t xml:space="preserve">Physicochemical_properties.Rmd</w:t>
      </w:r>
      <w:r>
        <w:t xml:space="preserve">”</w:t>
      </w:r>
      <w:r>
        <w:t xml:space="preserve">. This is imported at the here at the onset of data wrangling, because I need some of the physicochemical data and the pesticide annotations below (for pesticides, ACR annotations are 2.2, not standard 2, when converting EC50_acute -&gt; EC50_chronic in USEtoc v2.1 according to USEtox manual!)</w:t>
      </w:r>
    </w:p>
    <w:bookmarkStart w:id="27" w:name="raw-data-wrangling"/>
    <w:p>
      <w:pPr>
        <w:pStyle w:val="Heading2"/>
      </w:pPr>
      <w:r>
        <w:t xml:space="preserve">Raw data wrangling</w:t>
      </w:r>
    </w:p>
    <w:p>
      <w:pPr>
        <w:pStyle w:val="FirstParagraph"/>
      </w:pPr>
      <w:r>
        <w:t xml:space="preserve">Importing, filtering and wrangling the ecotoxicological effect data from QSAR data output, including relevant metadata that can act as quality control. In this operation the OECD QSAR Toolbox output gets read in and a first step of harmonizing the data set. The files have different lengths and number of columns, which forces me to select a set of defined columns. Additionally, duplicates and completely empty records have been removed to have a neater data set to work with.</w:t>
      </w:r>
      <w:r>
        <w:t xml:space="preserve"> </w:t>
      </w:r>
      <w:r>
        <w:t xml:space="preserve">Available from the 5 databases; ECOTOX, Aquatic OASIS, Aquatic ECETOC,Aquatic Japan MoE, and Food TOX Hazard EFSA with 308708, 2231, 6238, 3238, and 2265 records respectively.</w:t>
      </w:r>
    </w:p>
    <w:p>
      <w:pPr>
        <w:pStyle w:val="BodyText"/>
      </w:pPr>
      <w:r>
        <w:t xml:space="preserve">However, anomalies were discovered when visualizing the finished data that are easily fixed at the onset of wrangling. After inspecting source material, it is clear that most of these are incorrect entries into the ECOTOX database. Also, fixing the publication year of source material by merging two columns since different databases have different names for publication year.</w:t>
      </w:r>
      <w:r>
        <w:t xml:space="preserve"> </w:t>
      </w:r>
      <w:r>
        <w:rPr>
          <w:bCs/>
          <w:b/>
        </w:rPr>
        <w:t xml:space="preserve">Push to export a table of these?</w:t>
      </w:r>
    </w:p>
    <w:bookmarkStart w:id="20" w:name="which-endpoints-to-include."/>
    <w:p>
      <w:pPr>
        <w:pStyle w:val="Heading3"/>
      </w:pPr>
      <w:r>
        <w:t xml:space="preserve">Which endpoints to include.</w:t>
      </w:r>
    </w:p>
    <w:p>
      <w:pPr>
        <w:pStyle w:val="FirstParagraph"/>
      </w:pPr>
      <w:r>
        <w:t xml:space="preserve">Saouter et al.(2022) defined 6 different conversion coefficients for chronic/acute EC50 -&gt; chronic EC10 etc.</w:t>
      </w:r>
      <w:r>
        <w:t xml:space="preserve"> </w:t>
      </w:r>
      <w:r>
        <w:t xml:space="preserve">Leo Posthuma used several more, all ECx (1-20), records with the endpoints NOEC, LOEC, maximum acceptable toxicant concentration, EC0, EC5, EC10, and EC20 are marked as</w:t>
      </w:r>
      <w:r>
        <w:t xml:space="preserve"> </w:t>
      </w:r>
      <w:r>
        <w:t xml:space="preserve">“</w:t>
      </w:r>
      <w:r>
        <w:t xml:space="preserve">chronic NOEC</w:t>
      </w:r>
      <w:r>
        <w:t xml:space="preserve">”</w:t>
      </w:r>
      <w:r>
        <w:t xml:space="preserve">, records with (EC) or (LC) endpoint ranging from 30 to 70% are marked as</w:t>
      </w:r>
      <w:r>
        <w:t xml:space="preserve"> </w:t>
      </w:r>
      <w:r>
        <w:t xml:space="preserve">“</w:t>
      </w:r>
      <w:r>
        <w:t xml:space="preserve">acute EC50</w:t>
      </w:r>
      <w:r>
        <w:t xml:space="preserve">”</w:t>
      </w:r>
      <w:r>
        <w:t xml:space="preserve"> </w:t>
      </w:r>
      <w:r>
        <w:t xml:space="preserve">Acute/chronic definitions are available in Posthuma et al., 2019 (Table 1) and Aurisano et al., 2019 for algae, bacteria, unicellular animals, crustaceans, fish, molluscs/worms/etc.</w:t>
      </w:r>
    </w:p>
    <w:p>
      <w:pPr>
        <w:pStyle w:val="BodyText"/>
      </w:pPr>
      <w:r>
        <w:t xml:space="preserve">Harmonization and aggregation of endpoints</w:t>
      </w:r>
      <w:r>
        <w:br/>
      </w:r>
      <w:r>
        <w:t xml:space="preserve">[</w:t>
      </w:r>
      <m:oMath>
        <m:r>
          <m:t>A</m:t>
        </m:r>
        <m:r>
          <m:t>u</m:t>
        </m:r>
        <m:r>
          <m:t>r</m:t>
        </m:r>
        <m:r>
          <m:t>i</m:t>
        </m:r>
        <m:r>
          <m:t>s</m:t>
        </m:r>
        <m:r>
          <m:t>a</m:t>
        </m:r>
        <m:r>
          <m:t>n</m:t>
        </m:r>
        <m:r>
          <m:t>o</m:t>
        </m:r>
        <m:r>
          <m:t>e</m:t>
        </m:r>
        <m:r>
          <m:t>t</m:t>
        </m:r>
        <m:r>
          <m:t>a</m:t>
        </m:r>
        <m:r>
          <m:t>l</m:t>
        </m:r>
        <m:r>
          <m:rPr>
            <m:sty m:val="p"/>
          </m:rPr>
          <m:t>.</m:t>
        </m:r>
        <m:r>
          <m:rPr>
            <m:sty m:val="p"/>
          </m:rPr>
          <m:t>,</m:t>
        </m:r>
        <m:r>
          <m:t>2019</m:t>
        </m:r>
        <m:r>
          <m:rPr>
            <m:sty m:val="p"/>
          </m:rPr>
          <m:t>,</m:t>
        </m:r>
        <m:r>
          <m:t>p</m:t>
        </m:r>
        <m:r>
          <m:rPr>
            <m:sty m:val="p"/>
          </m:rPr>
          <m:t>.</m:t>
        </m:r>
        <m:r>
          <m:t>2570</m:t>
        </m:r>
      </m:oMath>
      <w:r>
        <w:t xml:space="preserve">]</w:t>
      </w:r>
      <w:r>
        <w:br/>
      </w:r>
      <w:r>
        <w:t xml:space="preserve">EC0, EL0, IC0, LC0, NOAEC, NOEC, NOEbC, NOErC, NOEL grouped into NOEC; EC10, IC10, LC10, LOEC grouped into EC10eq; EC50, EbC50, EbL50, ErC50, ErL50, IC50, LC50 grouped into EC50.</w:t>
      </w:r>
      <w:r>
        <w:br/>
      </w:r>
      <w:r>
        <w:t xml:space="preserve">“</w:t>
      </w:r>
      <w:r>
        <w:t xml:space="preserve">We combined LOEC and EC10 for deriving extrapolation factors based on high uncertainties in the low range of species sensitivity distributions, rendering it difficult to treat LOEC and EC10 as separate metrics in statistical analyses (Iwasaki et al. 2015; King et al. 2017).</w:t>
      </w:r>
      <w:r>
        <w:t xml:space="preserve">”</w:t>
      </w:r>
      <w:r>
        <w:t xml:space="preserve"> </w:t>
      </w:r>
      <w:r>
        <w:t xml:space="preserve">[Aurisano et al., 2019, p. 2571]</w:t>
      </w:r>
    </w:p>
    <w:p>
      <w:pPr>
        <w:pStyle w:val="BodyText"/>
      </w:pPr>
      <w:r>
        <w:t xml:space="preserve">Table of effect data endpoints included in the construction of the HESTIA toxicological database</w:t>
      </w:r>
    </w:p>
    <w:p>
      <w:pPr>
        <w:pStyle w:val="BodyText"/>
      </w:pPr>
      <w:r>
        <w:t xml:space="preserve">Endpoint</w:t>
      </w:r>
    </w:p>
    <w:p>
      <w:pPr>
        <w:pStyle w:val="BodyText"/>
      </w:pPr>
      <w:r>
        <w:t xml:space="preserve">n</w:t>
      </w:r>
    </w:p>
    <w:p>
      <w:pPr>
        <w:pStyle w:val="BodyText"/>
      </w:pPr>
      <w:r>
        <w:t xml:space="preserve">Harmonized Endpoint(</w:t>
      </w:r>
      <w:r>
        <w:rPr>
          <w:iCs/>
          <w:i/>
        </w:rPr>
        <w:t xml:space="preserve">q</w:t>
      </w:r>
      <w:r>
        <w:t xml:space="preserve">)</w:t>
      </w:r>
    </w:p>
    <w:p>
      <w:pPr>
        <w:pStyle w:val="BodyText"/>
      </w:pPr>
      <w:r>
        <w:t xml:space="preserve">LOEC</w:t>
      </w:r>
    </w:p>
    <w:p>
      <w:pPr>
        <w:pStyle w:val="BodyText"/>
      </w:pPr>
      <w:r>
        <w:t xml:space="preserve">78564</w:t>
      </w:r>
    </w:p>
    <w:p>
      <w:pPr>
        <w:pStyle w:val="BodyText"/>
      </w:pPr>
      <w:r>
        <w:t xml:space="preserve">EC10</w:t>
      </w:r>
    </w:p>
    <w:p>
      <w:pPr>
        <w:pStyle w:val="BodyText"/>
      </w:pPr>
      <w:r>
        <w:t xml:space="preserve">EC10</w:t>
      </w:r>
    </w:p>
    <w:p>
      <w:pPr>
        <w:pStyle w:val="BodyText"/>
      </w:pPr>
      <w:r>
        <w:t xml:space="preserve">4053</w:t>
      </w:r>
    </w:p>
    <w:p>
      <w:pPr>
        <w:pStyle w:val="BodyText"/>
      </w:pPr>
      <w:r>
        <w:t xml:space="preserve">EC10</w:t>
      </w:r>
    </w:p>
    <w:p>
      <w:pPr>
        <w:pStyle w:val="BodyText"/>
      </w:pPr>
      <w:r>
        <w:t xml:space="preserve">LC10</w:t>
      </w:r>
    </w:p>
    <w:p>
      <w:pPr>
        <w:pStyle w:val="BodyText"/>
      </w:pPr>
      <w:r>
        <w:t xml:space="preserve">1987</w:t>
      </w:r>
    </w:p>
    <w:p>
      <w:pPr>
        <w:pStyle w:val="BodyText"/>
      </w:pPr>
      <w:r>
        <w:t xml:space="preserve">EC10</w:t>
      </w:r>
    </w:p>
    <w:p>
      <w:pPr>
        <w:pStyle w:val="BodyText"/>
      </w:pPr>
      <w:r>
        <w:t xml:space="preserve">IC10</w:t>
      </w:r>
    </w:p>
    <w:p>
      <w:pPr>
        <w:pStyle w:val="BodyText"/>
      </w:pPr>
      <w:r>
        <w:t xml:space="preserve">502</w:t>
      </w:r>
    </w:p>
    <w:p>
      <w:pPr>
        <w:pStyle w:val="BodyText"/>
      </w:pPr>
      <w:r>
        <w:t xml:space="preserve">EC10</w:t>
      </w:r>
    </w:p>
    <w:p>
      <w:pPr>
        <w:pStyle w:val="BodyText"/>
      </w:pPr>
      <w:r>
        <w:t xml:space="preserve">LD10</w:t>
      </w:r>
    </w:p>
    <w:p>
      <w:pPr>
        <w:pStyle w:val="BodyText"/>
      </w:pPr>
      <w:r>
        <w:t xml:space="preserve">33</w:t>
      </w:r>
    </w:p>
    <w:p>
      <w:pPr>
        <w:pStyle w:val="BodyText"/>
      </w:pPr>
      <w:r>
        <w:t xml:space="preserve">EC10</w:t>
      </w:r>
    </w:p>
    <w:p>
      <w:pPr>
        <w:pStyle w:val="BodyText"/>
      </w:pPr>
      <w:r>
        <w:t xml:space="preserve">ER10</w:t>
      </w:r>
    </w:p>
    <w:p>
      <w:pPr>
        <w:pStyle w:val="BodyText"/>
      </w:pPr>
      <w:r>
        <w:t xml:space="preserve">26</w:t>
      </w:r>
    </w:p>
    <w:p>
      <w:pPr>
        <w:pStyle w:val="BodyText"/>
      </w:pPr>
      <w:r>
        <w:t xml:space="preserve">EC10</w:t>
      </w:r>
    </w:p>
    <w:p>
      <w:pPr>
        <w:pStyle w:val="BodyText"/>
      </w:pPr>
      <w:r>
        <w:t xml:space="preserve">EL10</w:t>
      </w:r>
    </w:p>
    <w:p>
      <w:pPr>
        <w:pStyle w:val="BodyText"/>
      </w:pPr>
      <w:r>
        <w:t xml:space="preserve">2</w:t>
      </w:r>
    </w:p>
    <w:p>
      <w:pPr>
        <w:pStyle w:val="BodyText"/>
      </w:pPr>
      <w:r>
        <w:t xml:space="preserve">EC10</w:t>
      </w:r>
    </w:p>
    <w:p>
      <w:pPr>
        <w:pStyle w:val="BodyText"/>
      </w:pPr>
      <w:r>
        <w:t xml:space="preserve">LC50</w:t>
      </w:r>
    </w:p>
    <w:p>
      <w:pPr>
        <w:pStyle w:val="BodyText"/>
      </w:pPr>
      <w:r>
        <w:t xml:space="preserve">103776</w:t>
      </w:r>
    </w:p>
    <w:p>
      <w:pPr>
        <w:pStyle w:val="BodyText"/>
      </w:pPr>
      <w:r>
        <w:t xml:space="preserve">EC50</w:t>
      </w:r>
    </w:p>
    <w:p>
      <w:pPr>
        <w:pStyle w:val="BodyText"/>
      </w:pPr>
      <w:r>
        <w:t xml:space="preserve">EC50</w:t>
      </w:r>
    </w:p>
    <w:p>
      <w:pPr>
        <w:pStyle w:val="BodyText"/>
      </w:pPr>
      <w:r>
        <w:t xml:space="preserve">44910</w:t>
      </w:r>
    </w:p>
    <w:p>
      <w:pPr>
        <w:pStyle w:val="BodyText"/>
      </w:pPr>
      <w:r>
        <w:t xml:space="preserve">EC50</w:t>
      </w:r>
    </w:p>
    <w:p>
      <w:pPr>
        <w:pStyle w:val="BodyText"/>
      </w:pPr>
      <w:r>
        <w:t xml:space="preserve">IC50</w:t>
      </w:r>
    </w:p>
    <w:p>
      <w:pPr>
        <w:pStyle w:val="BodyText"/>
      </w:pPr>
      <w:r>
        <w:t xml:space="preserve">4081</w:t>
      </w:r>
    </w:p>
    <w:p>
      <w:pPr>
        <w:pStyle w:val="BodyText"/>
      </w:pPr>
      <w:r>
        <w:t xml:space="preserve">EC50</w:t>
      </w:r>
    </w:p>
    <w:p>
      <w:pPr>
        <w:pStyle w:val="BodyText"/>
      </w:pPr>
      <w:r>
        <w:t xml:space="preserve">LD50</w:t>
      </w:r>
    </w:p>
    <w:p>
      <w:pPr>
        <w:pStyle w:val="BodyText"/>
      </w:pPr>
      <w:r>
        <w:t xml:space="preserve">1949</w:t>
      </w:r>
    </w:p>
    <w:p>
      <w:pPr>
        <w:pStyle w:val="BodyText"/>
      </w:pPr>
      <w:r>
        <w:t xml:space="preserve">EC50</w:t>
      </w:r>
    </w:p>
    <w:p>
      <w:pPr>
        <w:pStyle w:val="BodyText"/>
      </w:pPr>
      <w:r>
        <w:t xml:space="preserve">ER50</w:t>
      </w:r>
    </w:p>
    <w:p>
      <w:pPr>
        <w:pStyle w:val="BodyText"/>
      </w:pPr>
      <w:r>
        <w:t xml:space="preserve">126</w:t>
      </w:r>
    </w:p>
    <w:p>
      <w:pPr>
        <w:pStyle w:val="BodyText"/>
      </w:pPr>
      <w:r>
        <w:t xml:space="preserve">EC50</w:t>
      </w:r>
    </w:p>
    <w:p>
      <w:pPr>
        <w:pStyle w:val="BodyText"/>
      </w:pPr>
      <w:r>
        <w:t xml:space="preserve">EL50</w:t>
      </w:r>
    </w:p>
    <w:p>
      <w:pPr>
        <w:pStyle w:val="BodyText"/>
      </w:pPr>
      <w:r>
        <w:t xml:space="preserve">22</w:t>
      </w:r>
    </w:p>
    <w:p>
      <w:pPr>
        <w:pStyle w:val="BodyText"/>
      </w:pPr>
      <w:r>
        <w:t xml:space="preserve">EC50</w:t>
      </w:r>
    </w:p>
    <w:p>
      <w:pPr>
        <w:pStyle w:val="BodyText"/>
      </w:pPr>
      <w:r>
        <w:t xml:space="preserve">NOEC</w:t>
      </w:r>
    </w:p>
    <w:p>
      <w:pPr>
        <w:pStyle w:val="BodyText"/>
      </w:pPr>
      <w:r>
        <w:t xml:space="preserve">105703</w:t>
      </w:r>
    </w:p>
    <w:p>
      <w:pPr>
        <w:pStyle w:val="BodyText"/>
      </w:pPr>
      <w:r>
        <w:t xml:space="preserve">NOEC</w:t>
      </w:r>
    </w:p>
    <w:p>
      <w:pPr>
        <w:pStyle w:val="BodyText"/>
      </w:pPr>
      <w:r>
        <w:t xml:space="preserve">NOEL</w:t>
      </w:r>
    </w:p>
    <w:p>
      <w:pPr>
        <w:pStyle w:val="BodyText"/>
      </w:pPr>
      <w:r>
        <w:t xml:space="preserve">13348</w:t>
      </w:r>
    </w:p>
    <w:p>
      <w:pPr>
        <w:pStyle w:val="BodyText"/>
      </w:pPr>
      <w:r>
        <w:t xml:space="preserve">NOEC</w:t>
      </w:r>
    </w:p>
    <w:p>
      <w:pPr>
        <w:pStyle w:val="BodyText"/>
      </w:pPr>
      <w:r>
        <w:t xml:space="preserve">LC0</w:t>
      </w:r>
    </w:p>
    <w:p>
      <w:pPr>
        <w:pStyle w:val="BodyText"/>
      </w:pPr>
      <w:r>
        <w:t xml:space="preserve">1110</w:t>
      </w:r>
    </w:p>
    <w:p>
      <w:pPr>
        <w:pStyle w:val="BodyText"/>
      </w:pPr>
      <w:r>
        <w:t xml:space="preserve">NOEC</w:t>
      </w:r>
    </w:p>
    <w:p>
      <w:pPr>
        <w:pStyle w:val="BodyText"/>
      </w:pPr>
      <w:r>
        <w:t xml:space="preserve">EC0</w:t>
      </w:r>
    </w:p>
    <w:p>
      <w:pPr>
        <w:pStyle w:val="BodyText"/>
      </w:pPr>
      <w:r>
        <w:t xml:space="preserve">527</w:t>
      </w:r>
    </w:p>
    <w:p>
      <w:pPr>
        <w:pStyle w:val="BodyText"/>
      </w:pPr>
      <w:r>
        <w:t xml:space="preserve">NOEC</w:t>
      </w:r>
    </w:p>
    <w:p>
      <w:pPr>
        <w:pStyle w:val="BodyText"/>
      </w:pPr>
      <w:r>
        <w:t xml:space="preserve">NOER</w:t>
      </w:r>
    </w:p>
    <w:p>
      <w:pPr>
        <w:pStyle w:val="BodyText"/>
      </w:pPr>
      <w:r>
        <w:t xml:space="preserve">175</w:t>
      </w:r>
    </w:p>
    <w:p>
      <w:pPr>
        <w:pStyle w:val="BodyText"/>
      </w:pPr>
      <w:r>
        <w:t xml:space="preserve">NOEC</w:t>
      </w:r>
    </w:p>
    <w:p>
      <w:pPr>
        <w:pStyle w:val="BodyText"/>
      </w:pPr>
      <w:r>
        <w:t xml:space="preserve">LD0</w:t>
      </w:r>
    </w:p>
    <w:p>
      <w:pPr>
        <w:pStyle w:val="BodyText"/>
      </w:pPr>
      <w:r>
        <w:t xml:space="preserve">51</w:t>
      </w:r>
    </w:p>
    <w:p>
      <w:pPr>
        <w:pStyle w:val="BodyText"/>
      </w:pPr>
      <w:r>
        <w:t xml:space="preserve">NOEC</w:t>
      </w:r>
    </w:p>
    <w:p>
      <w:pPr>
        <w:pStyle w:val="BodyText"/>
      </w:pPr>
      <w:r>
        <w:t xml:space="preserve">NOAEC</w:t>
      </w:r>
    </w:p>
    <w:p>
      <w:pPr>
        <w:pStyle w:val="BodyText"/>
      </w:pPr>
      <w:r>
        <w:t xml:space="preserve">10</w:t>
      </w:r>
    </w:p>
    <w:p>
      <w:pPr>
        <w:pStyle w:val="BodyText"/>
      </w:pPr>
      <w:r>
        <w:t xml:space="preserve">NOEC</w:t>
      </w:r>
    </w:p>
    <w:bookmarkEnd w:id="20"/>
    <w:bookmarkStart w:id="21" w:name="values-reported-in-range"/>
    <w:p>
      <w:pPr>
        <w:pStyle w:val="Heading3"/>
      </w:pPr>
      <w:r>
        <w:t xml:space="preserve">Values reported in range</w:t>
      </w:r>
    </w:p>
    <w:p>
      <w:pPr>
        <w:pStyle w:val="FirstParagraph"/>
      </w:pPr>
      <w:r>
        <w:t xml:space="preserve">Effect concentration qualifiers</w:t>
      </w:r>
      <w:r>
        <w:t xml:space="preserve"> </w:t>
      </w:r>
      <w:r>
        <w:t xml:space="preserve">Based on similar work by Saouter et al., 2019, in cases where no mean value is reported, the following rules will be applied:</w:t>
      </w:r>
      <w:r>
        <w:t xml:space="preserve"> </w:t>
      </w:r>
      <w:r>
        <w:t xml:space="preserve">“</w:t>
      </w:r>
      <w:r>
        <w:t xml:space="preserve">A large majority of the results have a numeric value in the low range with a qualifier =, ca., &gt;=, or &gt;. In contrast, only a few tests have their results expressed in the higher ranges (5862 test results). The following selections were made to maximize the use of available data:</w:t>
      </w:r>
      <w:r>
        <w:br/>
      </w:r>
      <w:r>
        <w:t xml:space="preserve">1. When there is a lower range value with the descriptors</w:t>
      </w:r>
      <w:r>
        <w:t xml:space="preserve"> </w:t>
      </w:r>
      <w:r>
        <w:t xml:space="preserve">‘</w:t>
      </w:r>
      <w:r>
        <w:t xml:space="preserve">&gt;=, ca., or empty</w:t>
      </w:r>
      <w:r>
        <w:t xml:space="preserve">’</w:t>
      </w:r>
      <w:r>
        <w:t xml:space="preserve">, the lowest value is selected. If, within this group, a test has also a higher value, this higher value is ignored.</w:t>
      </w:r>
      <w:r>
        <w:br/>
      </w:r>
      <w:r>
        <w:t xml:space="preserve">2. All lower range values described as</w:t>
      </w:r>
      <w:r>
        <w:t xml:space="preserve"> </w:t>
      </w:r>
      <w:r>
        <w:t xml:space="preserve">‘</w:t>
      </w:r>
      <w:r>
        <w:t xml:space="preserve">&gt;</w:t>
      </w:r>
      <w:r>
        <w:t xml:space="preserve">’</w:t>
      </w:r>
      <w:r>
        <w:t xml:space="preserve"> </w:t>
      </w:r>
      <w:r>
        <w:t xml:space="preserve">are ignored (n = 39602), unless the higher value is described as</w:t>
      </w:r>
      <w:r>
        <w:t xml:space="preserve"> </w:t>
      </w:r>
      <w:r>
        <w:t xml:space="preserve">‘</w:t>
      </w:r>
      <w:r>
        <w:t xml:space="preserve">=&lt;</w:t>
      </w:r>
      <w:r>
        <w:t xml:space="preserve">’</w:t>
      </w:r>
      <w:r>
        <w:t xml:space="preserve"> </w:t>
      </w:r>
      <w:r>
        <w:t xml:space="preserve">(n= 80 observations). In case of NOEC &gt; than, the value was kept since it is still representing a concentration with no observed effect.</w:t>
      </w:r>
      <w:r>
        <w:br/>
      </w:r>
      <w:r>
        <w:t xml:space="preserve">3. All higher values described as</w:t>
      </w:r>
      <w:r>
        <w:t xml:space="preserve"> </w:t>
      </w:r>
      <w:r>
        <w:t xml:space="preserve">‘</w:t>
      </w:r>
      <w:r>
        <w:t xml:space="preserve">&lt; than</w:t>
      </w:r>
      <w:r>
        <w:t xml:space="preserve">’</w:t>
      </w:r>
      <w:r>
        <w:t xml:space="preserve"> </w:t>
      </w:r>
      <w:r>
        <w:t xml:space="preserve">are ignored, unless the lower range value is described as</w:t>
      </w:r>
      <w:r>
        <w:t xml:space="preserve"> </w:t>
      </w:r>
      <w:r>
        <w:t xml:space="preserve">‘</w:t>
      </w:r>
      <w:r>
        <w:t xml:space="preserve">&gt;=</w:t>
      </w:r>
      <w:r>
        <w:t xml:space="preserve">’</w:t>
      </w:r>
      <w:r>
        <w:t xml:space="preserve">. Then the lower value is used.</w:t>
      </w:r>
      <w:r>
        <w:br/>
      </w:r>
      <w:r>
        <w:t xml:space="preserve">4. When a lower range value is missing (0 or blank) and a higher value is available described as</w:t>
      </w:r>
      <w:r>
        <w:t xml:space="preserve"> </w:t>
      </w:r>
      <w:r>
        <w:t xml:space="preserve">‘</w:t>
      </w:r>
      <w:r>
        <w:t xml:space="preserve">&lt;=</w:t>
      </w:r>
      <w:r>
        <w:t xml:space="preserve">’</w:t>
      </w:r>
      <w:r>
        <w:t xml:space="preserve">, the higher value is used.</w:t>
      </w:r>
      <w:r>
        <w:br/>
      </w:r>
      <w:r>
        <w:t xml:space="preserve">5. When a lower value is described as &gt;= and the higher value is described as &lt;=, the lowest value is used.</w:t>
      </w:r>
      <w:r>
        <w:br/>
      </w:r>
      <w:r>
        <w:t xml:space="preserve">6. Values expressed as</w:t>
      </w:r>
      <w:r>
        <w:t xml:space="preserve"> </w:t>
      </w:r>
      <w:r>
        <w:t xml:space="preserve">‘</w:t>
      </w:r>
      <w:r>
        <w:t xml:space="preserve">&lt;</w:t>
      </w:r>
      <w:r>
        <w:t xml:space="preserve">’</w:t>
      </w:r>
      <w:r>
        <w:t xml:space="preserve"> </w:t>
      </w:r>
      <w:r>
        <w:t xml:space="preserve">are excluded (4397 test results).</w:t>
      </w:r>
      <w:r>
        <w:t xml:space="preserve">”</w:t>
      </w:r>
      <w:r>
        <w:t xml:space="preserve"> </w:t>
      </w:r>
      <w:r>
        <w:t xml:space="preserve">[Saouter et al., 2018, p. 47]</w:t>
      </w:r>
      <w:r>
        <w:br/>
      </w:r>
      <w:r>
        <w:t xml:space="preserve">The counts of effect concentration qualifier annotations</w:t>
      </w:r>
    </w:p>
    <w:p>
      <w:pPr>
        <w:pStyle w:val="BodyText"/>
      </w:pPr>
      <w:r>
        <w:t xml:space="preserve">Qualifier type</w:t>
      </w:r>
    </w:p>
    <w:p>
      <w:pPr>
        <w:pStyle w:val="BodyText"/>
      </w:pPr>
      <w:r>
        <w:t xml:space="preserve">Count across all</w:t>
      </w:r>
    </w:p>
    <w:p>
      <w:pPr>
        <w:pStyle w:val="BodyText"/>
      </w:pPr>
      <w:r>
        <w:t xml:space="preserve">Count min qualifier</w:t>
      </w:r>
    </w:p>
    <w:p>
      <w:pPr>
        <w:pStyle w:val="BodyText"/>
      </w:pPr>
      <w:r>
        <w:t xml:space="preserve">Count max qualifier</w:t>
      </w:r>
    </w:p>
    <w:p>
      <w:pPr>
        <w:pStyle w:val="BodyText"/>
      </w:pPr>
      <w:r>
        <w:t xml:space="preserve">&lt;</w:t>
      </w:r>
    </w:p>
    <w:p>
      <w:pPr>
        <w:pStyle w:val="BodyText"/>
      </w:pPr>
      <w:r>
        <w:t xml:space="preserve">3391</w:t>
      </w:r>
    </w:p>
    <w:p>
      <w:pPr>
        <w:pStyle w:val="BodyText"/>
      </w:pPr>
      <w:r>
        <w:t xml:space="preserve">999</w:t>
      </w:r>
    </w:p>
    <w:p>
      <w:pPr>
        <w:pStyle w:val="BodyText"/>
      </w:pPr>
      <w:r>
        <w:t xml:space="preserve">3842</w:t>
      </w:r>
    </w:p>
    <w:p>
      <w:pPr>
        <w:pStyle w:val="BodyText"/>
      </w:pPr>
      <w:r>
        <w:t xml:space="preserve">&lt;=</w:t>
      </w:r>
    </w:p>
    <w:p>
      <w:pPr>
        <w:pStyle w:val="BodyText"/>
      </w:pPr>
      <w:r>
        <w:t xml:space="preserve">418</w:t>
      </w:r>
    </w:p>
    <w:p>
      <w:pPr>
        <w:pStyle w:val="BodyText"/>
      </w:pPr>
      <w:r>
        <w:t xml:space="preserve">14</w:t>
      </w:r>
    </w:p>
    <w:p>
      <w:pPr>
        <w:pStyle w:val="BodyText"/>
      </w:pPr>
      <w:r>
        <w:t xml:space="preserve">18</w:t>
      </w:r>
    </w:p>
    <w:p>
      <w:pPr>
        <w:pStyle w:val="BodyText"/>
      </w:pPr>
      <w:r>
        <w:t xml:space="preserve">=</w:t>
      </w:r>
    </w:p>
    <w:p>
      <w:pPr>
        <w:pStyle w:val="BodyText"/>
      </w:pPr>
      <w:r>
        <w:t xml:space="preserve">1889</w:t>
      </w:r>
    </w:p>
    <w:p>
      <w:pPr>
        <w:pStyle w:val="BodyText"/>
      </w:pPr>
      <w:r>
        <w:t xml:space="preserve">NA</w:t>
      </w:r>
    </w:p>
    <w:p>
      <w:pPr>
        <w:pStyle w:val="BodyText"/>
      </w:pPr>
      <w:r>
        <w:t xml:space="preserve">NA</w:t>
      </w:r>
    </w:p>
    <w:p>
      <w:pPr>
        <w:pStyle w:val="BodyText"/>
      </w:pPr>
      <w:r>
        <w:t xml:space="preserve">&gt;</w:t>
      </w:r>
    </w:p>
    <w:p>
      <w:pPr>
        <w:pStyle w:val="BodyText"/>
      </w:pPr>
      <w:r>
        <w:t xml:space="preserve">13444</w:t>
      </w:r>
    </w:p>
    <w:p>
      <w:pPr>
        <w:pStyle w:val="BodyText"/>
      </w:pPr>
      <w:r>
        <w:t xml:space="preserve">4067</w:t>
      </w:r>
    </w:p>
    <w:p>
      <w:pPr>
        <w:pStyle w:val="BodyText"/>
      </w:pPr>
      <w:r>
        <w:t xml:space="preserve">107</w:t>
      </w:r>
    </w:p>
    <w:p>
      <w:pPr>
        <w:pStyle w:val="BodyText"/>
      </w:pPr>
      <w:r>
        <w:t xml:space="preserve">&gt;=</w:t>
      </w:r>
    </w:p>
    <w:p>
      <w:pPr>
        <w:pStyle w:val="BodyText"/>
      </w:pPr>
      <w:r>
        <w:t xml:space="preserve">400</w:t>
      </w:r>
    </w:p>
    <w:p>
      <w:pPr>
        <w:pStyle w:val="BodyText"/>
      </w:pPr>
      <w:r>
        <w:t xml:space="preserve">742</w:t>
      </w:r>
    </w:p>
    <w:p>
      <w:pPr>
        <w:pStyle w:val="BodyText"/>
      </w:pPr>
      <w:r>
        <w:t xml:space="preserve">6</w:t>
      </w:r>
    </w:p>
    <w:p>
      <w:pPr>
        <w:pStyle w:val="BodyText"/>
      </w:pPr>
      <w:r>
        <w:t xml:space="preserve">ca.</w:t>
      </w:r>
    </w:p>
    <w:p>
      <w:pPr>
        <w:pStyle w:val="BodyText"/>
      </w:pPr>
      <w:r>
        <w:t xml:space="preserve">1684</w:t>
      </w:r>
    </w:p>
    <w:p>
      <w:pPr>
        <w:pStyle w:val="BodyText"/>
      </w:pPr>
      <w:r>
        <w:t xml:space="preserve">64</w:t>
      </w:r>
    </w:p>
    <w:p>
      <w:pPr>
        <w:pStyle w:val="BodyText"/>
      </w:pPr>
      <w:r>
        <w:t xml:space="preserve">70</w:t>
      </w:r>
    </w:p>
    <w:p>
      <w:pPr>
        <w:pStyle w:val="BodyText"/>
      </w:pPr>
      <w:r>
        <w:t xml:space="preserve">NA</w:t>
      </w:r>
    </w:p>
    <w:p>
      <w:pPr>
        <w:pStyle w:val="BodyText"/>
      </w:pPr>
      <w:r>
        <w:t xml:space="preserve">301454</w:t>
      </w:r>
    </w:p>
    <w:p>
      <w:pPr>
        <w:pStyle w:val="BodyText"/>
      </w:pPr>
      <w:r>
        <w:t xml:space="preserve">316794</w:t>
      </w:r>
    </w:p>
    <w:p>
      <w:pPr>
        <w:pStyle w:val="BodyText"/>
      </w:pPr>
      <w:r>
        <w:t xml:space="preserve">318637</w:t>
      </w:r>
    </w:p>
    <w:bookmarkEnd w:id="21"/>
    <w:bookmarkStart w:id="22" w:name="X40c411d3d98eafb49dd1ea013a2a2ceeed1bd3f"/>
    <w:p>
      <w:pPr>
        <w:pStyle w:val="Heading3"/>
      </w:pPr>
      <w:r>
        <w:t xml:space="preserve">Test media (Freshwater &amp; culture media filter)</w:t>
      </w:r>
    </w:p>
    <w:p>
      <w:pPr>
        <w:pStyle w:val="FirstParagraph"/>
      </w:pPr>
      <w:r>
        <w:t xml:space="preserve">Assuming tests without defined media type is</w:t>
      </w:r>
      <w:r>
        <w:t xml:space="preserve"> </w:t>
      </w:r>
      <w:r>
        <w:t xml:space="preserve">“</w:t>
      </w:r>
      <w:r>
        <w:t xml:space="preserve">freshwater</w:t>
      </w:r>
      <w:r>
        <w:t xml:space="preserve">”</w:t>
      </w:r>
      <w:r>
        <w:t xml:space="preserve">. Especially considering the majority of organisms are Daphnia magna, Pseudokirchneriella subcapitata, Pimephales promelas and Oryzias latipes (after inspection), just as Saouter 2018.</w:t>
      </w:r>
    </w:p>
    <w:p>
      <w:pPr>
        <w:pStyle w:val="BodyText"/>
      </w:pPr>
      <w:r>
        <w:t xml:space="preserve">Media.type</w:t>
      </w:r>
    </w:p>
    <w:p>
      <w:pPr>
        <w:pStyle w:val="BodyText"/>
      </w:pPr>
      <w:r>
        <w:t xml:space="preserve">n</w:t>
      </w:r>
    </w:p>
    <w:p>
      <w:pPr>
        <w:pStyle w:val="BodyText"/>
      </w:pPr>
      <w:r>
        <w:t xml:space="preserve">Culture</w:t>
      </w:r>
    </w:p>
    <w:p>
      <w:pPr>
        <w:pStyle w:val="BodyText"/>
      </w:pPr>
      <w:r>
        <w:t xml:space="preserve">7468</w:t>
      </w:r>
    </w:p>
    <w:p>
      <w:pPr>
        <w:pStyle w:val="BodyText"/>
      </w:pPr>
      <w:r>
        <w:t xml:space="preserve">Freshwater</w:t>
      </w:r>
    </w:p>
    <w:p>
      <w:pPr>
        <w:pStyle w:val="BodyText"/>
      </w:pPr>
      <w:r>
        <w:t xml:space="preserve">253938</w:t>
      </w:r>
    </w:p>
    <w:p>
      <w:pPr>
        <w:pStyle w:val="BodyText"/>
      </w:pPr>
      <w:r>
        <w:t xml:space="preserve">Nosubstrate</w:t>
      </w:r>
    </w:p>
    <w:p>
      <w:pPr>
        <w:pStyle w:val="BodyText"/>
      </w:pPr>
      <w:r>
        <w:t xml:space="preserve">15</w:t>
      </w:r>
    </w:p>
    <w:p>
      <w:pPr>
        <w:pStyle w:val="BodyText"/>
      </w:pPr>
      <w:r>
        <w:t xml:space="preserve">Saltwater</w:t>
      </w:r>
    </w:p>
    <w:p>
      <w:pPr>
        <w:pStyle w:val="BodyText"/>
      </w:pPr>
      <w:r>
        <w:t xml:space="preserve">51465</w:t>
      </w:r>
    </w:p>
    <w:p>
      <w:pPr>
        <w:pStyle w:val="BodyText"/>
      </w:pPr>
      <w:r>
        <w:t xml:space="preserve">NA</w:t>
      </w:r>
    </w:p>
    <w:p>
      <w:pPr>
        <w:pStyle w:val="BodyText"/>
      </w:pPr>
      <w:r>
        <w:t xml:space="preserve">9794</w:t>
      </w:r>
    </w:p>
    <w:bookmarkEnd w:id="22"/>
    <w:bookmarkStart w:id="23" w:name="effect-criterion-selection"/>
    <w:p>
      <w:pPr>
        <w:pStyle w:val="Heading3"/>
      </w:pPr>
      <w:r>
        <w:t xml:space="preserve">Effect Criterion selection</w:t>
      </w:r>
    </w:p>
    <w:p>
      <w:pPr>
        <w:pStyle w:val="FirstParagraph"/>
      </w:pPr>
      <w:r>
        <w:t xml:space="preserve">Posthuma et al., 2019, selected few effect criterion where:</w:t>
      </w:r>
      <w:r>
        <w:t xml:space="preserve"> </w:t>
      </w:r>
      <w:r>
        <w:t xml:space="preserve">“</w:t>
      </w:r>
      <w:r>
        <w:t xml:space="preserve">… records with the endpoints NOEC, lowest-observed-effect concentration, maximum acceptable toxicant concentration, EC0, EC5, EC10, and EC20 are marked as “chronic NOEC</w:t>
      </w:r>
      <w:r>
        <w:t xml:space="preserve">”</w:t>
      </w:r>
      <w:r>
        <w:t xml:space="preserve"> </w:t>
      </w:r>
      <w:r>
        <w:t xml:space="preserve">when they have an appropriate taxon-dependent test duration (see Table 1) and population-relevant effect criterion (e.g., reproduction, growth, population growth, and development, next to mortality and immobility); and records with a sublethal (EC) or lethal endpoint ranging from 30 to 70% are marked as</w:t>
      </w:r>
      <w:r>
        <w:t xml:space="preserve"> </w:t>
      </w:r>
      <w:r>
        <w:t xml:space="preserve">“</w:t>
      </w:r>
      <w:r>
        <w:t xml:space="preserve">acute EC50</w:t>
      </w:r>
      <w:r>
        <w:t xml:space="preserve">”</w:t>
      </w:r>
      <w:r>
        <w:t xml:space="preserve"> </w:t>
      </w:r>
      <w:r>
        <w:t xml:space="preserve">when they have an appropriate taxon-dependent test duration (see Table 1) and effect criterion (e.g., mortality and immobility).</w:t>
      </w:r>
      <w:r>
        <w:t xml:space="preserve"> </w:t>
      </w:r>
      <w:r>
        <w:t xml:space="preserve">However, Posthuma et al. also clustered NOEC, LOEC, EC 0-20 into one</w:t>
      </w:r>
      <w:r>
        <w:t xml:space="preserve"> </w:t>
      </w:r>
      <w:r>
        <w:t xml:space="preserve">“</w:t>
      </w:r>
      <w:r>
        <w:t xml:space="preserve">Chronic NOEC</w:t>
      </w:r>
      <w:r>
        <w:t xml:space="preserve">”</w:t>
      </w:r>
      <w:r>
        <w:t xml:space="preserve">-category and all EC 30-70 into one Acute EC50 category.</w:t>
      </w:r>
    </w:p>
    <w:p>
      <w:pPr>
        <w:pStyle w:val="BodyText"/>
      </w:pPr>
      <w:r>
        <w:t xml:space="preserve">We decide to select endpoint criterions based on expert consultation with dr. Andreu Rico</w:t>
      </w:r>
    </w:p>
    <w:p>
      <w:pPr>
        <w:pStyle w:val="BodyText"/>
      </w:pPr>
      <w:r>
        <w:t xml:space="preserve">Effect</w:t>
      </w:r>
    </w:p>
    <w:p>
      <w:pPr>
        <w:pStyle w:val="BodyText"/>
      </w:pPr>
      <w:r>
        <w:t xml:space="preserve">n</w:t>
      </w:r>
    </w:p>
    <w:p>
      <w:pPr>
        <w:pStyle w:val="BodyText"/>
      </w:pPr>
      <w:r>
        <w:t xml:space="preserve">Mortality</w:t>
      </w:r>
    </w:p>
    <w:p>
      <w:pPr>
        <w:pStyle w:val="BodyText"/>
      </w:pPr>
      <w:r>
        <w:t xml:space="preserve">86593</w:t>
      </w:r>
    </w:p>
    <w:p>
      <w:pPr>
        <w:pStyle w:val="BodyText"/>
      </w:pPr>
      <w:r>
        <w:t xml:space="preserve">Population</w:t>
      </w:r>
    </w:p>
    <w:p>
      <w:pPr>
        <w:pStyle w:val="BodyText"/>
      </w:pPr>
      <w:r>
        <w:t xml:space="preserve">31102</w:t>
      </w:r>
    </w:p>
    <w:p>
      <w:pPr>
        <w:pStyle w:val="BodyText"/>
      </w:pPr>
      <w:r>
        <w:t xml:space="preserve">Growth</w:t>
      </w:r>
    </w:p>
    <w:p>
      <w:pPr>
        <w:pStyle w:val="BodyText"/>
      </w:pPr>
      <w:r>
        <w:t xml:space="preserve">14753</w:t>
      </w:r>
    </w:p>
    <w:p>
      <w:pPr>
        <w:pStyle w:val="BodyText"/>
      </w:pPr>
      <w:r>
        <w:t xml:space="preserve">Intoxication</w:t>
      </w:r>
    </w:p>
    <w:p>
      <w:pPr>
        <w:pStyle w:val="BodyText"/>
      </w:pPr>
      <w:r>
        <w:t xml:space="preserve">9052</w:t>
      </w:r>
    </w:p>
    <w:p>
      <w:pPr>
        <w:pStyle w:val="BodyText"/>
      </w:pPr>
      <w:r>
        <w:t xml:space="preserve">Reproduction</w:t>
      </w:r>
    </w:p>
    <w:p>
      <w:pPr>
        <w:pStyle w:val="BodyText"/>
      </w:pPr>
      <w:r>
        <w:t xml:space="preserve">8398</w:t>
      </w:r>
    </w:p>
    <w:p>
      <w:pPr>
        <w:pStyle w:val="BodyText"/>
      </w:pPr>
      <w:r>
        <w:t xml:space="preserve">Behavior</w:t>
      </w:r>
    </w:p>
    <w:p>
      <w:pPr>
        <w:pStyle w:val="BodyText"/>
      </w:pPr>
      <w:r>
        <w:t xml:space="preserve">5779</w:t>
      </w:r>
    </w:p>
    <w:p>
      <w:pPr>
        <w:pStyle w:val="BodyText"/>
      </w:pPr>
      <w:r>
        <w:t xml:space="preserve">Development</w:t>
      </w:r>
    </w:p>
    <w:p>
      <w:pPr>
        <w:pStyle w:val="BodyText"/>
      </w:pPr>
      <w:r>
        <w:t xml:space="preserve">4904</w:t>
      </w:r>
    </w:p>
    <w:p>
      <w:pPr>
        <w:pStyle w:val="BodyText"/>
      </w:pPr>
      <w:r>
        <w:t xml:space="preserve">Cell(s)</w:t>
      </w:r>
    </w:p>
    <w:p>
      <w:pPr>
        <w:pStyle w:val="BodyText"/>
      </w:pPr>
      <w:r>
        <w:t xml:space="preserve">3803</w:t>
      </w:r>
    </w:p>
    <w:p>
      <w:pPr>
        <w:pStyle w:val="BodyText"/>
      </w:pPr>
      <w:r>
        <w:t xml:space="preserve">Feeding Behavior</w:t>
      </w:r>
    </w:p>
    <w:p>
      <w:pPr>
        <w:pStyle w:val="BodyText"/>
      </w:pPr>
      <w:r>
        <w:t xml:space="preserve">1391</w:t>
      </w:r>
    </w:p>
    <w:p>
      <w:pPr>
        <w:pStyle w:val="BodyText"/>
      </w:pPr>
      <w:r>
        <w:t xml:space="preserve">Acute</w:t>
      </w:r>
    </w:p>
    <w:p>
      <w:pPr>
        <w:pStyle w:val="BodyText"/>
      </w:pPr>
      <w:r>
        <w:t xml:space="preserve">850</w:t>
      </w:r>
    </w:p>
    <w:p>
      <w:pPr>
        <w:pStyle w:val="BodyText"/>
      </w:pPr>
      <w:r>
        <w:t xml:space="preserve">Growth Rate</w:t>
      </w:r>
    </w:p>
    <w:p>
      <w:pPr>
        <w:pStyle w:val="BodyText"/>
      </w:pPr>
      <w:r>
        <w:t xml:space="preserve">832</w:t>
      </w:r>
    </w:p>
    <w:p>
      <w:pPr>
        <w:pStyle w:val="BodyText"/>
      </w:pPr>
      <w:r>
        <w:t xml:space="preserve">Chronic</w:t>
      </w:r>
    </w:p>
    <w:p>
      <w:pPr>
        <w:pStyle w:val="BodyText"/>
      </w:pPr>
      <w:r>
        <w:t xml:space="preserve">686</w:t>
      </w:r>
    </w:p>
    <w:p>
      <w:pPr>
        <w:pStyle w:val="BodyText"/>
      </w:pPr>
      <w:r>
        <w:t xml:space="preserve">Biomass</w:t>
      </w:r>
    </w:p>
    <w:p>
      <w:pPr>
        <w:pStyle w:val="BodyText"/>
      </w:pPr>
      <w:r>
        <w:t xml:space="preserve">273</w:t>
      </w:r>
    </w:p>
    <w:p>
      <w:pPr>
        <w:pStyle w:val="BodyText"/>
      </w:pPr>
      <w:r>
        <w:t xml:space="preserve">Immobilisation</w:t>
      </w:r>
    </w:p>
    <w:p>
      <w:pPr>
        <w:pStyle w:val="BodyText"/>
      </w:pPr>
      <w:r>
        <w:t xml:space="preserve">116</w:t>
      </w:r>
    </w:p>
    <w:p>
      <w:pPr>
        <w:pStyle w:val="BodyText"/>
      </w:pPr>
      <w:r>
        <w:t xml:space="preserve">Frond Number</w:t>
      </w:r>
    </w:p>
    <w:p>
      <w:pPr>
        <w:pStyle w:val="BodyText"/>
      </w:pPr>
      <w:r>
        <w:t xml:space="preserve">98</w:t>
      </w:r>
    </w:p>
    <w:p>
      <w:pPr>
        <w:pStyle w:val="BodyText"/>
      </w:pPr>
      <w:r>
        <w:t xml:space="preserve">Mobility</w:t>
      </w:r>
    </w:p>
    <w:p>
      <w:pPr>
        <w:pStyle w:val="BodyText"/>
      </w:pPr>
      <w:r>
        <w:t xml:space="preserve">78</w:t>
      </w:r>
    </w:p>
    <w:p>
      <w:pPr>
        <w:pStyle w:val="BodyText"/>
      </w:pPr>
      <w:r>
        <w:t xml:space="preserve">Body Weight</w:t>
      </w:r>
    </w:p>
    <w:p>
      <w:pPr>
        <w:pStyle w:val="BodyText"/>
      </w:pPr>
      <w:r>
        <w:t xml:space="preserve">10</w:t>
      </w:r>
    </w:p>
    <w:p>
      <w:pPr>
        <w:pStyle w:val="BodyText"/>
      </w:pPr>
      <w:r>
        <w:t xml:space="preserve">Seedling Emergence</w:t>
      </w:r>
    </w:p>
    <w:p>
      <w:pPr>
        <w:pStyle w:val="BodyText"/>
      </w:pPr>
      <w:r>
        <w:t xml:space="preserve">10</w:t>
      </w:r>
    </w:p>
    <w:p>
      <w:pPr>
        <w:pStyle w:val="BodyText"/>
      </w:pPr>
      <w:r>
        <w:t xml:space="preserve">Behaviour</w:t>
      </w:r>
    </w:p>
    <w:p>
      <w:pPr>
        <w:pStyle w:val="BodyText"/>
      </w:pPr>
      <w:r>
        <w:t xml:space="preserve">7</w:t>
      </w:r>
    </w:p>
    <w:bookmarkEnd w:id="23"/>
    <w:bookmarkStart w:id="24" w:name="defining-acutechronic-conditions"/>
    <w:p>
      <w:pPr>
        <w:pStyle w:val="Heading3"/>
      </w:pPr>
      <w:r>
        <w:t xml:space="preserve">Defining Acute/chronic conditions</w:t>
      </w:r>
    </w:p>
    <w:p>
      <w:pPr>
        <w:pStyle w:val="FirstParagraph"/>
      </w:pPr>
      <w:r>
        <w:t xml:space="preserve">Operation based on taxonomic group</w:t>
      </w:r>
      <w:r>
        <w:t xml:space="preserve"> </w:t>
      </w:r>
      <w:r>
        <w:t xml:space="preserve">First step is to harmonize test durations and test concentration units and transform test concentrations into mg/L measurements. This is performed according to table</w:t>
      </w:r>
      <w:r>
        <w:t xml:space="preserve"> </w:t>
      </w:r>
      <w:r>
        <w:t xml:space="preserve">step 4: Filter out data that is not convertable into correct time units or concentration formats.</w:t>
      </w:r>
    </w:p>
    <w:p>
      <w:pPr>
        <w:pStyle w:val="BodyText"/>
      </w:pPr>
      <w:r>
        <w:t xml:space="preserve">Step 5: Define Acute or Chronic test conditions:</w:t>
      </w:r>
    </w:p>
    <w:p>
      <w:pPr>
        <w:pStyle w:val="BodyText"/>
      </w:pPr>
      <w:r>
        <w:t xml:space="preserve">effect concentration conversions needs a revision:</w:t>
      </w:r>
      <w:r>
        <w:t xml:space="preserve"> </w:t>
      </w:r>
      <w:r>
        <w:t xml:space="preserve">- #For toxic endpoints, are milligrams per liter (mg / L) equivalent to parts per million (ppm)?</w:t>
      </w:r>
      <w:r>
        <w:t xml:space="preserve"> </w:t>
      </w:r>
      <w:r>
        <w:t xml:space="preserve">The endpoint concentrations for regulated toxic substances under the risk management program rule (40 CFR Part 68 Appendix A) are listed in units of milligrams per liter (mg/L). Is this equivalent to parts per million (ppm)?</w:t>
      </w:r>
      <w:r>
        <w:t xml:space="preserve"> </w:t>
      </w:r>
      <w:r>
        <w:t xml:space="preserve">No, mg/L is not always equivalent to ppm. Whereas ppm is a volume-to-volume or mass-to-mass ratio, mg/l is a mass-to-volume relationship. To convert from units of mg/L to ppm, use the following equation. Endpoint (ppm) = [Endpoint (mg/L) x 1000 x 24.5] / [Molecular Weight] EPA has included the RMP toxic endpoints in both ppm and mg/L in Appendix B of the Risk Management Program Guidance for Offsite Consequence Analysis (EPA550-B-99-009, April, 1999).#</w:t>
      </w:r>
    </w:p>
    <w:p>
      <w:pPr>
        <w:pStyle w:val="BodyText"/>
      </w:pPr>
      <w:r>
        <w:t xml:space="preserve">Hence, to convert ppm or ppb to mg/L, I need to redo the conversions.</w:t>
      </w:r>
      <w:r>
        <w:t xml:space="preserve"> </w:t>
      </w:r>
      <w:r>
        <w:t xml:space="preserve">Endpoint (ppm) = [Endpoint (mg/L) x 1000 x 24.5] / [Molecular Weight] –&gt;</w:t>
      </w:r>
      <w:r>
        <w:t xml:space="preserve"> </w:t>
      </w:r>
      <w:r>
        <w:t xml:space="preserve">Endpoint (ppm) x Molecular Weight / 1000 x 24.5 = Endpoint (mg/L)</w:t>
      </w:r>
    </w:p>
    <w:bookmarkEnd w:id="24"/>
    <w:bookmarkStart w:id="25" w:name="ec10eq-conversions"/>
    <w:p>
      <w:pPr>
        <w:pStyle w:val="Heading3"/>
      </w:pPr>
      <w:r>
        <w:t xml:space="preserve">EC10eq conversions</w:t>
      </w:r>
    </w:p>
    <w:p>
      <w:pPr>
        <w:pStyle w:val="FirstParagraph"/>
      </w:pPr>
      <w:r>
        <w:t xml:space="preserve">With endpoints harmonized according to EC10eq conversions</w:t>
      </w:r>
    </w:p>
    <w:p>
      <w:pPr>
        <w:pStyle w:val="BodyText"/>
      </w:pPr>
      <w:r>
        <w:t xml:space="preserve">Harmonized endpoint (q)</w:t>
      </w:r>
    </w:p>
    <w:p>
      <w:pPr>
        <w:pStyle w:val="BodyText"/>
      </w:pPr>
      <w:r>
        <w:t xml:space="preserve">Acute or chronic exposure (a)</w:t>
      </w:r>
    </w:p>
    <w:p>
      <w:pPr>
        <w:pStyle w:val="BodyText"/>
      </w:pPr>
      <w:r>
        <w:t xml:space="preserve">Taxonomy group (t)</w:t>
      </w:r>
    </w:p>
    <w:p>
      <w:pPr>
        <w:pStyle w:val="BodyText"/>
      </w:pPr>
      <w:r>
        <w:t xml:space="preserve">extrapolation factor (g)</w:t>
      </w:r>
    </w:p>
    <w:p>
      <w:pPr>
        <w:pStyle w:val="BodyText"/>
      </w:pPr>
      <w:r>
        <w:t xml:space="preserve">High CI (95%)(h)</w:t>
      </w:r>
    </w:p>
    <w:p>
      <w:pPr>
        <w:pStyle w:val="BodyText"/>
      </w:pPr>
      <w:r>
        <w:t xml:space="preserve">Low CI (95%)(l)</w:t>
      </w:r>
    </w:p>
    <w:p>
      <w:pPr>
        <w:pStyle w:val="BodyText"/>
      </w:pPr>
      <w:r>
        <w:t xml:space="preserve">EC50</w:t>
      </w:r>
    </w:p>
    <w:p>
      <w:pPr>
        <w:pStyle w:val="BodyText"/>
      </w:pPr>
      <w:r>
        <w:t xml:space="preserve">Acute</w:t>
      </w:r>
    </w:p>
    <w:p>
      <w:pPr>
        <w:pStyle w:val="BodyText"/>
      </w:pPr>
      <w:r>
        <w:t xml:space="preserve">Fish</w:t>
      </w:r>
    </w:p>
    <w:p>
      <w:pPr>
        <w:pStyle w:val="BodyText"/>
      </w:pPr>
      <w:r>
        <w:t xml:space="preserve">7.44</w:t>
      </w:r>
    </w:p>
    <w:p>
      <w:pPr>
        <w:pStyle w:val="BodyText"/>
      </w:pPr>
      <w:r>
        <w:t xml:space="preserve">18.95</w:t>
      </w:r>
    </w:p>
    <w:p>
      <w:pPr>
        <w:pStyle w:val="BodyText"/>
      </w:pPr>
      <w:r>
        <w:t xml:space="preserve">2.92</w:t>
      </w:r>
    </w:p>
    <w:p>
      <w:pPr>
        <w:pStyle w:val="BodyText"/>
      </w:pPr>
      <w:r>
        <w:t xml:space="preserve">EC50</w:t>
      </w:r>
    </w:p>
    <w:p>
      <w:pPr>
        <w:pStyle w:val="BodyText"/>
      </w:pPr>
      <w:r>
        <w:t xml:space="preserve">Acute</w:t>
      </w:r>
    </w:p>
    <w:p>
      <w:pPr>
        <w:pStyle w:val="BodyText"/>
      </w:pPr>
      <w:r>
        <w:t xml:space="preserve">Crustacean</w:t>
      </w:r>
    </w:p>
    <w:p>
      <w:pPr>
        <w:pStyle w:val="BodyText"/>
      </w:pPr>
      <w:r>
        <w:t xml:space="preserve">3.38</w:t>
      </w:r>
    </w:p>
    <w:p>
      <w:pPr>
        <w:pStyle w:val="BodyText"/>
      </w:pPr>
      <w:r>
        <w:t xml:space="preserve">5.34</w:t>
      </w:r>
    </w:p>
    <w:p>
      <w:pPr>
        <w:pStyle w:val="BodyText"/>
      </w:pPr>
      <w:r>
        <w:t xml:space="preserve">2.14</w:t>
      </w:r>
    </w:p>
    <w:p>
      <w:pPr>
        <w:pStyle w:val="BodyText"/>
      </w:pPr>
      <w:r>
        <w:t xml:space="preserve">EC50</w:t>
      </w:r>
    </w:p>
    <w:p>
      <w:pPr>
        <w:pStyle w:val="BodyText"/>
      </w:pPr>
      <w:r>
        <w:t xml:space="preserve">Acute</w:t>
      </w:r>
    </w:p>
    <w:p>
      <w:pPr>
        <w:pStyle w:val="BodyText"/>
      </w:pPr>
      <w:r>
        <w:t xml:space="preserve">Algae</w:t>
      </w:r>
    </w:p>
    <w:p>
      <w:pPr>
        <w:pStyle w:val="BodyText"/>
      </w:pPr>
      <w:r>
        <w:t xml:space="preserve">4.00</w:t>
      </w:r>
    </w:p>
    <w:p>
      <w:pPr>
        <w:pStyle w:val="BodyText"/>
      </w:pPr>
      <w:r>
        <w:t xml:space="preserve">6.10</w:t>
      </w:r>
    </w:p>
    <w:p>
      <w:pPr>
        <w:pStyle w:val="BodyText"/>
      </w:pPr>
      <w:r>
        <w:t xml:space="preserve">2.60</w:t>
      </w:r>
    </w:p>
    <w:p>
      <w:pPr>
        <w:pStyle w:val="BodyText"/>
      </w:pPr>
      <w:r>
        <w:t xml:space="preserve">EC50</w:t>
      </w:r>
    </w:p>
    <w:p>
      <w:pPr>
        <w:pStyle w:val="BodyText"/>
      </w:pPr>
      <w:r>
        <w:t xml:space="preserve">Acute</w:t>
      </w:r>
    </w:p>
    <w:p>
      <w:pPr>
        <w:pStyle w:val="BodyText"/>
      </w:pPr>
      <w:r>
        <w:t xml:space="preserve">Others</w:t>
      </w:r>
    </w:p>
    <w:p>
      <w:pPr>
        <w:pStyle w:val="BodyText"/>
      </w:pPr>
      <w:r>
        <w:t xml:space="preserve">4.00</w:t>
      </w:r>
    </w:p>
    <w:p>
      <w:pPr>
        <w:pStyle w:val="BodyText"/>
      </w:pPr>
      <w:r>
        <w:t xml:space="preserve">6.10</w:t>
      </w:r>
    </w:p>
    <w:p>
      <w:pPr>
        <w:pStyle w:val="BodyText"/>
      </w:pPr>
      <w:r>
        <w:t xml:space="preserve">2.60</w:t>
      </w:r>
    </w:p>
    <w:p>
      <w:pPr>
        <w:pStyle w:val="BodyText"/>
      </w:pPr>
      <w:r>
        <w:t xml:space="preserve">EC50</w:t>
      </w:r>
    </w:p>
    <w:p>
      <w:pPr>
        <w:pStyle w:val="BodyText"/>
      </w:pPr>
      <w:r>
        <w:t xml:space="preserve">Chronic</w:t>
      </w:r>
    </w:p>
    <w:p>
      <w:pPr>
        <w:pStyle w:val="BodyText"/>
      </w:pPr>
      <w:r>
        <w:t xml:space="preserve">Fish</w:t>
      </w:r>
    </w:p>
    <w:p>
      <w:pPr>
        <w:pStyle w:val="BodyText"/>
      </w:pPr>
      <w:r>
        <w:t xml:space="preserve">1.55</w:t>
      </w:r>
    </w:p>
    <w:p>
      <w:pPr>
        <w:pStyle w:val="BodyText"/>
      </w:pPr>
      <w:r>
        <w:t xml:space="preserve">3.66</w:t>
      </w:r>
    </w:p>
    <w:p>
      <w:pPr>
        <w:pStyle w:val="BodyText"/>
      </w:pPr>
      <w:r>
        <w:t xml:space="preserve">0.67</w:t>
      </w:r>
    </w:p>
    <w:p>
      <w:pPr>
        <w:pStyle w:val="BodyText"/>
      </w:pPr>
      <w:r>
        <w:t xml:space="preserve">EC50</w:t>
      </w:r>
    </w:p>
    <w:p>
      <w:pPr>
        <w:pStyle w:val="BodyText"/>
      </w:pPr>
      <w:r>
        <w:t xml:space="preserve">Chronic</w:t>
      </w:r>
    </w:p>
    <w:p>
      <w:pPr>
        <w:pStyle w:val="BodyText"/>
      </w:pPr>
      <w:r>
        <w:t xml:space="preserve">Crustacean</w:t>
      </w:r>
    </w:p>
    <w:p>
      <w:pPr>
        <w:pStyle w:val="BodyText"/>
      </w:pPr>
      <w:r>
        <w:t xml:space="preserve">1.94</w:t>
      </w:r>
    </w:p>
    <w:p>
      <w:pPr>
        <w:pStyle w:val="BodyText"/>
      </w:pPr>
      <w:r>
        <w:t xml:space="preserve">2.41</w:t>
      </w:r>
    </w:p>
    <w:p>
      <w:pPr>
        <w:pStyle w:val="BodyText"/>
      </w:pPr>
      <w:r>
        <w:t xml:space="preserve">1.56</w:t>
      </w:r>
    </w:p>
    <w:p>
      <w:pPr>
        <w:pStyle w:val="BodyText"/>
      </w:pPr>
      <w:r>
        <w:t xml:space="preserve">EC50</w:t>
      </w:r>
    </w:p>
    <w:p>
      <w:pPr>
        <w:pStyle w:val="BodyText"/>
      </w:pPr>
      <w:r>
        <w:t xml:space="preserve">Chronic</w:t>
      </w:r>
    </w:p>
    <w:p>
      <w:pPr>
        <w:pStyle w:val="BodyText"/>
      </w:pPr>
      <w:r>
        <w:t xml:space="preserve">Algae</w:t>
      </w:r>
    </w:p>
    <w:p>
      <w:pPr>
        <w:pStyle w:val="BodyText"/>
      </w:pPr>
      <w:r>
        <w:t xml:space="preserve">2.24</w:t>
      </w:r>
    </w:p>
    <w:p>
      <w:pPr>
        <w:pStyle w:val="BodyText"/>
      </w:pPr>
      <w:r>
        <w:t xml:space="preserve">2.65</w:t>
      </w:r>
    </w:p>
    <w:p>
      <w:pPr>
        <w:pStyle w:val="BodyText"/>
      </w:pPr>
      <w:r>
        <w:t xml:space="preserve">1.90</w:t>
      </w:r>
    </w:p>
    <w:p>
      <w:pPr>
        <w:pStyle w:val="BodyText"/>
      </w:pPr>
      <w:r>
        <w:t xml:space="preserve">EC50</w:t>
      </w:r>
    </w:p>
    <w:p>
      <w:pPr>
        <w:pStyle w:val="BodyText"/>
      </w:pPr>
      <w:r>
        <w:t xml:space="preserve">Chronic</w:t>
      </w:r>
    </w:p>
    <w:p>
      <w:pPr>
        <w:pStyle w:val="BodyText"/>
      </w:pPr>
      <w:r>
        <w:t xml:space="preserve">Others</w:t>
      </w:r>
    </w:p>
    <w:p>
      <w:pPr>
        <w:pStyle w:val="BodyText"/>
      </w:pPr>
      <w:r>
        <w:t xml:space="preserve">2.00</w:t>
      </w:r>
    </w:p>
    <w:p>
      <w:pPr>
        <w:pStyle w:val="BodyText"/>
      </w:pPr>
      <w:r>
        <w:t xml:space="preserve">2.50</w:t>
      </w:r>
    </w:p>
    <w:p>
      <w:pPr>
        <w:pStyle w:val="BodyText"/>
      </w:pPr>
      <w:r>
        <w:t xml:space="preserve">1.80</w:t>
      </w:r>
    </w:p>
    <w:p>
      <w:pPr>
        <w:pStyle w:val="BodyText"/>
      </w:pPr>
      <w:r>
        <w:t xml:space="preserve">EC10</w:t>
      </w:r>
    </w:p>
    <w:p>
      <w:pPr>
        <w:pStyle w:val="BodyText"/>
      </w:pPr>
      <w:r>
        <w:t xml:space="preserve">Acute</w:t>
      </w:r>
    </w:p>
    <w:p>
      <w:pPr>
        <w:pStyle w:val="BodyText"/>
      </w:pPr>
      <w:r>
        <w:t xml:space="preserve">Fish</w:t>
      </w:r>
    </w:p>
    <w:p>
      <w:pPr>
        <w:pStyle w:val="BodyText"/>
      </w:pPr>
      <w:r>
        <w:t xml:space="preserve">1.00</w:t>
      </w:r>
    </w:p>
    <w:p>
      <w:pPr>
        <w:pStyle w:val="BodyText"/>
      </w:pPr>
      <w:r>
        <w:t xml:space="preserve">1.00</w:t>
      </w:r>
    </w:p>
    <w:p>
      <w:pPr>
        <w:pStyle w:val="BodyText"/>
      </w:pPr>
      <w:r>
        <w:t xml:space="preserve">1.00</w:t>
      </w:r>
    </w:p>
    <w:p>
      <w:pPr>
        <w:pStyle w:val="BodyText"/>
      </w:pPr>
      <w:r>
        <w:t xml:space="preserve">EC10</w:t>
      </w:r>
    </w:p>
    <w:p>
      <w:pPr>
        <w:pStyle w:val="BodyText"/>
      </w:pPr>
      <w:r>
        <w:t xml:space="preserve">Acute</w:t>
      </w:r>
    </w:p>
    <w:p>
      <w:pPr>
        <w:pStyle w:val="BodyText"/>
      </w:pPr>
      <w:r>
        <w:t xml:space="preserve">Crustacean</w:t>
      </w:r>
    </w:p>
    <w:p>
      <w:pPr>
        <w:pStyle w:val="BodyText"/>
      </w:pPr>
      <w:r>
        <w:t xml:space="preserve">1.00</w:t>
      </w:r>
    </w:p>
    <w:p>
      <w:pPr>
        <w:pStyle w:val="BodyText"/>
      </w:pPr>
      <w:r>
        <w:t xml:space="preserve">1.00</w:t>
      </w:r>
    </w:p>
    <w:p>
      <w:pPr>
        <w:pStyle w:val="BodyText"/>
      </w:pPr>
      <w:r>
        <w:t xml:space="preserve">1.00</w:t>
      </w:r>
    </w:p>
    <w:p>
      <w:pPr>
        <w:pStyle w:val="BodyText"/>
      </w:pPr>
      <w:r>
        <w:t xml:space="preserve">EC10</w:t>
      </w:r>
    </w:p>
    <w:p>
      <w:pPr>
        <w:pStyle w:val="BodyText"/>
      </w:pPr>
      <w:r>
        <w:t xml:space="preserve">Acute</w:t>
      </w:r>
    </w:p>
    <w:p>
      <w:pPr>
        <w:pStyle w:val="BodyText"/>
      </w:pPr>
      <w:r>
        <w:t xml:space="preserve">Algae</w:t>
      </w:r>
    </w:p>
    <w:p>
      <w:pPr>
        <w:pStyle w:val="BodyText"/>
      </w:pPr>
      <w:r>
        <w:t xml:space="preserve">1.00</w:t>
      </w:r>
    </w:p>
    <w:p>
      <w:pPr>
        <w:pStyle w:val="BodyText"/>
      </w:pPr>
      <w:r>
        <w:t xml:space="preserve">1.00</w:t>
      </w:r>
    </w:p>
    <w:p>
      <w:pPr>
        <w:pStyle w:val="BodyText"/>
      </w:pPr>
      <w:r>
        <w:t xml:space="preserve">1.00</w:t>
      </w:r>
    </w:p>
    <w:p>
      <w:pPr>
        <w:pStyle w:val="BodyText"/>
      </w:pPr>
      <w:r>
        <w:t xml:space="preserve">EC10</w:t>
      </w:r>
    </w:p>
    <w:p>
      <w:pPr>
        <w:pStyle w:val="BodyText"/>
      </w:pPr>
      <w:r>
        <w:t xml:space="preserve">Acute</w:t>
      </w:r>
    </w:p>
    <w:p>
      <w:pPr>
        <w:pStyle w:val="BodyText"/>
      </w:pPr>
      <w:r>
        <w:t xml:space="preserve">Others</w:t>
      </w:r>
    </w:p>
    <w:p>
      <w:pPr>
        <w:pStyle w:val="BodyText"/>
      </w:pPr>
      <w:r>
        <w:t xml:space="preserve">1.00</w:t>
      </w:r>
    </w:p>
    <w:p>
      <w:pPr>
        <w:pStyle w:val="BodyText"/>
      </w:pPr>
      <w:r>
        <w:t xml:space="preserve">1.00</w:t>
      </w:r>
    </w:p>
    <w:p>
      <w:pPr>
        <w:pStyle w:val="BodyText"/>
      </w:pPr>
      <w:r>
        <w:t xml:space="preserve">1.00</w:t>
      </w:r>
    </w:p>
    <w:p>
      <w:pPr>
        <w:pStyle w:val="BodyText"/>
      </w:pPr>
      <w:r>
        <w:t xml:space="preserve">EC10</w:t>
      </w:r>
    </w:p>
    <w:p>
      <w:pPr>
        <w:pStyle w:val="BodyText"/>
      </w:pPr>
      <w:r>
        <w:t xml:space="preserve">Chronic</w:t>
      </w:r>
    </w:p>
    <w:p>
      <w:pPr>
        <w:pStyle w:val="BodyText"/>
      </w:pPr>
      <w:r>
        <w:t xml:space="preserve">Fish</w:t>
      </w:r>
    </w:p>
    <w:p>
      <w:pPr>
        <w:pStyle w:val="BodyText"/>
      </w:pPr>
      <w:r>
        <w:t xml:space="preserve">1.00</w:t>
      </w:r>
    </w:p>
    <w:p>
      <w:pPr>
        <w:pStyle w:val="BodyText"/>
      </w:pPr>
      <w:r>
        <w:t xml:space="preserve">1.00</w:t>
      </w:r>
    </w:p>
    <w:p>
      <w:pPr>
        <w:pStyle w:val="BodyText"/>
      </w:pPr>
      <w:r>
        <w:t xml:space="preserve">1.00</w:t>
      </w:r>
    </w:p>
    <w:p>
      <w:pPr>
        <w:pStyle w:val="BodyText"/>
      </w:pPr>
      <w:r>
        <w:t xml:space="preserve">EC10</w:t>
      </w:r>
    </w:p>
    <w:p>
      <w:pPr>
        <w:pStyle w:val="BodyText"/>
      </w:pPr>
      <w:r>
        <w:t xml:space="preserve">Chronic</w:t>
      </w:r>
    </w:p>
    <w:p>
      <w:pPr>
        <w:pStyle w:val="BodyText"/>
      </w:pPr>
      <w:r>
        <w:t xml:space="preserve">Crustacean</w:t>
      </w:r>
    </w:p>
    <w:p>
      <w:pPr>
        <w:pStyle w:val="BodyText"/>
      </w:pPr>
      <w:r>
        <w:t xml:space="preserve">1.00</w:t>
      </w:r>
    </w:p>
    <w:p>
      <w:pPr>
        <w:pStyle w:val="BodyText"/>
      </w:pPr>
      <w:r>
        <w:t xml:space="preserve">1.00</w:t>
      </w:r>
    </w:p>
    <w:p>
      <w:pPr>
        <w:pStyle w:val="BodyText"/>
      </w:pPr>
      <w:r>
        <w:t xml:space="preserve">1.00</w:t>
      </w:r>
    </w:p>
    <w:p>
      <w:pPr>
        <w:pStyle w:val="BodyText"/>
      </w:pPr>
      <w:r>
        <w:t xml:space="preserve">EC10</w:t>
      </w:r>
    </w:p>
    <w:p>
      <w:pPr>
        <w:pStyle w:val="BodyText"/>
      </w:pPr>
      <w:r>
        <w:t xml:space="preserve">Chronic</w:t>
      </w:r>
    </w:p>
    <w:p>
      <w:pPr>
        <w:pStyle w:val="BodyText"/>
      </w:pPr>
      <w:r>
        <w:t xml:space="preserve">Algae</w:t>
      </w:r>
    </w:p>
    <w:p>
      <w:pPr>
        <w:pStyle w:val="BodyText"/>
      </w:pPr>
      <w:r>
        <w:t xml:space="preserve">1.00</w:t>
      </w:r>
    </w:p>
    <w:p>
      <w:pPr>
        <w:pStyle w:val="BodyText"/>
      </w:pPr>
      <w:r>
        <w:t xml:space="preserve">1.00</w:t>
      </w:r>
    </w:p>
    <w:p>
      <w:pPr>
        <w:pStyle w:val="BodyText"/>
      </w:pPr>
      <w:r>
        <w:t xml:space="preserve">1.00</w:t>
      </w:r>
    </w:p>
    <w:p>
      <w:pPr>
        <w:pStyle w:val="BodyText"/>
      </w:pPr>
      <w:r>
        <w:t xml:space="preserve">EC10</w:t>
      </w:r>
    </w:p>
    <w:p>
      <w:pPr>
        <w:pStyle w:val="BodyText"/>
      </w:pPr>
      <w:r>
        <w:t xml:space="preserve">Chronic</w:t>
      </w:r>
    </w:p>
    <w:p>
      <w:pPr>
        <w:pStyle w:val="BodyText"/>
      </w:pPr>
      <w:r>
        <w:t xml:space="preserve">Others</w:t>
      </w:r>
    </w:p>
    <w:p>
      <w:pPr>
        <w:pStyle w:val="BodyText"/>
      </w:pPr>
      <w:r>
        <w:t xml:space="preserve">1.00</w:t>
      </w:r>
    </w:p>
    <w:p>
      <w:pPr>
        <w:pStyle w:val="BodyText"/>
      </w:pPr>
      <w:r>
        <w:t xml:space="preserve">1.00</w:t>
      </w:r>
    </w:p>
    <w:p>
      <w:pPr>
        <w:pStyle w:val="BodyText"/>
      </w:pPr>
      <w:r>
        <w:t xml:space="preserve">1.00</w:t>
      </w:r>
    </w:p>
    <w:p>
      <w:pPr>
        <w:pStyle w:val="BodyText"/>
      </w:pPr>
      <w:r>
        <w:t xml:space="preserve">NOEC</w:t>
      </w:r>
    </w:p>
    <w:p>
      <w:pPr>
        <w:pStyle w:val="BodyText"/>
      </w:pPr>
      <w:r>
        <w:t xml:space="preserve">Acute</w:t>
      </w:r>
    </w:p>
    <w:p>
      <w:pPr>
        <w:pStyle w:val="BodyText"/>
      </w:pPr>
      <w:r>
        <w:t xml:space="preserve">Fish</w:t>
      </w:r>
    </w:p>
    <w:p>
      <w:pPr>
        <w:pStyle w:val="BodyText"/>
      </w:pPr>
      <w:r>
        <w:t xml:space="preserve">3.97</w:t>
      </w:r>
    </w:p>
    <w:p>
      <w:pPr>
        <w:pStyle w:val="BodyText"/>
      </w:pPr>
      <w:r>
        <w:t xml:space="preserve">17.39</w:t>
      </w:r>
    </w:p>
    <w:p>
      <w:pPr>
        <w:pStyle w:val="BodyText"/>
      </w:pPr>
      <w:r>
        <w:t xml:space="preserve">0.90</w:t>
      </w:r>
    </w:p>
    <w:p>
      <w:pPr>
        <w:pStyle w:val="BodyText"/>
      </w:pPr>
      <w:r>
        <w:t xml:space="preserve">NOEC</w:t>
      </w:r>
    </w:p>
    <w:p>
      <w:pPr>
        <w:pStyle w:val="BodyText"/>
      </w:pPr>
      <w:r>
        <w:t xml:space="preserve">Acute</w:t>
      </w:r>
    </w:p>
    <w:p>
      <w:pPr>
        <w:pStyle w:val="BodyText"/>
      </w:pPr>
      <w:r>
        <w:t xml:space="preserve">Crustacean</w:t>
      </w:r>
    </w:p>
    <w:p>
      <w:pPr>
        <w:pStyle w:val="BodyText"/>
      </w:pPr>
      <w:r>
        <w:t xml:space="preserve">1.55</w:t>
      </w:r>
    </w:p>
    <w:p>
      <w:pPr>
        <w:pStyle w:val="BodyText"/>
      </w:pPr>
      <w:r>
        <w:t xml:space="preserve">2.64</w:t>
      </w:r>
    </w:p>
    <w:p>
      <w:pPr>
        <w:pStyle w:val="BodyText"/>
      </w:pPr>
      <w:r>
        <w:t xml:space="preserve">0.91</w:t>
      </w:r>
    </w:p>
    <w:p>
      <w:pPr>
        <w:pStyle w:val="BodyText"/>
      </w:pPr>
      <w:r>
        <w:t xml:space="preserve">NOEC</w:t>
      </w:r>
    </w:p>
    <w:p>
      <w:pPr>
        <w:pStyle w:val="BodyText"/>
      </w:pPr>
      <w:r>
        <w:t xml:space="preserve">Acute</w:t>
      </w:r>
    </w:p>
    <w:p>
      <w:pPr>
        <w:pStyle w:val="BodyText"/>
      </w:pPr>
      <w:r>
        <w:t xml:space="preserve">Algae</w:t>
      </w:r>
    </w:p>
    <w:p>
      <w:pPr>
        <w:pStyle w:val="BodyText"/>
      </w:pPr>
      <w:r>
        <w:t xml:space="preserve">1.80</w:t>
      </w:r>
    </w:p>
    <w:p>
      <w:pPr>
        <w:pStyle w:val="BodyText"/>
      </w:pPr>
      <w:r>
        <w:t xml:space="preserve">2.70</w:t>
      </w:r>
    </w:p>
    <w:p>
      <w:pPr>
        <w:pStyle w:val="BodyText"/>
      </w:pPr>
      <w:r>
        <w:t xml:space="preserve">1.00</w:t>
      </w:r>
    </w:p>
    <w:p>
      <w:pPr>
        <w:pStyle w:val="BodyText"/>
      </w:pPr>
      <w:r>
        <w:t xml:space="preserve">NOEC</w:t>
      </w:r>
    </w:p>
    <w:p>
      <w:pPr>
        <w:pStyle w:val="BodyText"/>
      </w:pPr>
      <w:r>
        <w:t xml:space="preserve">Acute</w:t>
      </w:r>
    </w:p>
    <w:p>
      <w:pPr>
        <w:pStyle w:val="BodyText"/>
      </w:pPr>
      <w:r>
        <w:t xml:space="preserve">Others</w:t>
      </w:r>
    </w:p>
    <w:p>
      <w:pPr>
        <w:pStyle w:val="BodyText"/>
      </w:pPr>
      <w:r>
        <w:t xml:space="preserve">1.80</w:t>
      </w:r>
    </w:p>
    <w:p>
      <w:pPr>
        <w:pStyle w:val="BodyText"/>
      </w:pPr>
      <w:r>
        <w:t xml:space="preserve">2.70</w:t>
      </w:r>
    </w:p>
    <w:p>
      <w:pPr>
        <w:pStyle w:val="BodyText"/>
      </w:pPr>
      <w:r>
        <w:t xml:space="preserve">1.00</w:t>
      </w:r>
    </w:p>
    <w:p>
      <w:pPr>
        <w:pStyle w:val="BodyText"/>
      </w:pPr>
      <w:r>
        <w:t xml:space="preserve">NOEC</w:t>
      </w:r>
    </w:p>
    <w:p>
      <w:pPr>
        <w:pStyle w:val="BodyText"/>
      </w:pPr>
      <w:r>
        <w:t xml:space="preserve">Chronic</w:t>
      </w:r>
    </w:p>
    <w:p>
      <w:pPr>
        <w:pStyle w:val="BodyText"/>
      </w:pPr>
      <w:r>
        <w:t xml:space="preserve">Fish</w:t>
      </w:r>
    </w:p>
    <w:p>
      <w:pPr>
        <w:pStyle w:val="BodyText"/>
      </w:pPr>
      <w:r>
        <w:t xml:space="preserve">0.60</w:t>
      </w:r>
    </w:p>
    <w:p>
      <w:pPr>
        <w:pStyle w:val="BodyText"/>
      </w:pPr>
      <w:r>
        <w:t xml:space="preserve">0.70</w:t>
      </w:r>
    </w:p>
    <w:p>
      <w:pPr>
        <w:pStyle w:val="BodyText"/>
      </w:pPr>
      <w:r>
        <w:t xml:space="preserve">0.40</w:t>
      </w:r>
    </w:p>
    <w:p>
      <w:pPr>
        <w:pStyle w:val="BodyText"/>
      </w:pPr>
      <w:r>
        <w:t xml:space="preserve">NOEC</w:t>
      </w:r>
    </w:p>
    <w:p>
      <w:pPr>
        <w:pStyle w:val="BodyText"/>
      </w:pPr>
      <w:r>
        <w:t xml:space="preserve">Chronic</w:t>
      </w:r>
    </w:p>
    <w:p>
      <w:pPr>
        <w:pStyle w:val="BodyText"/>
      </w:pPr>
      <w:r>
        <w:t xml:space="preserve">Crustacean</w:t>
      </w:r>
    </w:p>
    <w:p>
      <w:pPr>
        <w:pStyle w:val="BodyText"/>
      </w:pPr>
      <w:r>
        <w:t xml:space="preserve">0.95</w:t>
      </w:r>
    </w:p>
    <w:p>
      <w:pPr>
        <w:pStyle w:val="BodyText"/>
      </w:pPr>
      <w:r>
        <w:t xml:space="preserve">1.16</w:t>
      </w:r>
    </w:p>
    <w:p>
      <w:pPr>
        <w:pStyle w:val="BodyText"/>
      </w:pPr>
      <w:r>
        <w:t xml:space="preserve">0.77</w:t>
      </w:r>
    </w:p>
    <w:p>
      <w:pPr>
        <w:pStyle w:val="BodyText"/>
      </w:pPr>
      <w:r>
        <w:t xml:space="preserve">NOEC</w:t>
      </w:r>
    </w:p>
    <w:p>
      <w:pPr>
        <w:pStyle w:val="BodyText"/>
      </w:pPr>
      <w:r>
        <w:t xml:space="preserve">Chronic</w:t>
      </w:r>
    </w:p>
    <w:p>
      <w:pPr>
        <w:pStyle w:val="BodyText"/>
      </w:pPr>
      <w:r>
        <w:t xml:space="preserve">Algae</w:t>
      </w:r>
    </w:p>
    <w:p>
      <w:pPr>
        <w:pStyle w:val="BodyText"/>
      </w:pPr>
      <w:r>
        <w:t xml:space="preserve">0.44</w:t>
      </w:r>
    </w:p>
    <w:p>
      <w:pPr>
        <w:pStyle w:val="BodyText"/>
      </w:pPr>
      <w:r>
        <w:t xml:space="preserve">0.49</w:t>
      </w:r>
    </w:p>
    <w:p>
      <w:pPr>
        <w:pStyle w:val="BodyText"/>
      </w:pPr>
      <w:r>
        <w:t xml:space="preserve">0.39</w:t>
      </w:r>
    </w:p>
    <w:p>
      <w:pPr>
        <w:pStyle w:val="BodyText"/>
      </w:pPr>
      <w:r>
        <w:t xml:space="preserve">NOEC</w:t>
      </w:r>
    </w:p>
    <w:p>
      <w:pPr>
        <w:pStyle w:val="BodyText"/>
      </w:pPr>
      <w:r>
        <w:t xml:space="preserve">Chronic</w:t>
      </w:r>
    </w:p>
    <w:p>
      <w:pPr>
        <w:pStyle w:val="BodyText"/>
      </w:pPr>
      <w:r>
        <w:t xml:space="preserve">Others</w:t>
      </w:r>
    </w:p>
    <w:p>
      <w:pPr>
        <w:pStyle w:val="BodyText"/>
      </w:pPr>
      <w:r>
        <w:t xml:space="preserve">0.60</w:t>
      </w:r>
    </w:p>
    <w:p>
      <w:pPr>
        <w:pStyle w:val="BodyText"/>
      </w:pPr>
      <w:r>
        <w:t xml:space="preserve">0.70</w:t>
      </w:r>
    </w:p>
    <w:p>
      <w:pPr>
        <w:pStyle w:val="BodyText"/>
      </w:pPr>
      <w:r>
        <w:t xml:space="preserve">0.40</w:t>
      </w:r>
    </w:p>
    <w:bookmarkEnd w:id="25"/>
    <w:bookmarkStart w:id="26" w:name="summarising-the-chemical-properties-work"/>
    <w:p>
      <w:pPr>
        <w:pStyle w:val="Heading3"/>
      </w:pPr>
      <w:r>
        <w:t xml:space="preserve">Summarising the chemical properties work</w:t>
      </w:r>
    </w:p>
    <w:p>
      <w:pPr>
        <w:pStyle w:val="FirstParagraph"/>
      </w:pPr>
      <w:r>
        <w:t xml:space="preserve">How many different types of substances can be ascribed a certain use-property?</w:t>
      </w:r>
      <w:r>
        <w:t xml:space="preserve"> </w:t>
      </w:r>
      <w:r>
        <w:t xml:space="preserve">By looking in several data repositories I have collected data on</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HESTIA_Report</dc:title>
  <dc:creator>Oskar Nyberg</dc:creator>
  <cp:keywords/>
  <dcterms:created xsi:type="dcterms:W3CDTF">2023-03-14T11:57:49Z</dcterms:created>
  <dcterms:modified xsi:type="dcterms:W3CDTF">2023-03-14T11:57:49Z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2023-03-14</vt:lpwstr>
  </property>
  <property fmtid="{D5CDD505-2E9C-101B-9397-08002B2CF9AE}" pid="3" name="output">
    <vt:lpwstr/>
  </property>
</Properties>
</file>