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Calibri" w:cs="Calibri" w:eastAsia="Calibri" w:hAnsi="Calibri"/>
          <w:b/>
          <w:bCs/>
          <w:color w:val="1F3864"/>
          <w:sz w:val="36"/>
          <w:szCs w:val="36"/>
        </w:rPr>
        <w:t xml:space="preserve">Memoria de cálculo — Objetivo específico 1</w:t>
      </w:r>
    </w:p>
    <w:p>
      <w:pPr>
        <w:pBdr>
          <w:bottom w:val="single" w:color="2E74B5" w:sz="8" w:space="6"/>
        </w:pBdr>
        <w:spacing w:after="200"/>
        <w:jc w:val="left"/>
      </w:pPr>
      <w:r>
        <w:rPr>
          <w:rFonts w:ascii="Calibri" w:cs="Calibri" w:eastAsia="Calibri" w:hAnsi="Calibri"/>
          <w:i/>
          <w:iCs/>
          <w:color w:val="595959"/>
          <w:sz w:val="21"/>
          <w:szCs w:val="21"/>
        </w:rPr>
        <w:t xml:space="preserve">Análisis topográfico del trazado del túnel de base Ferropista · tramo Ibagué – Armenia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2900"/>
            <w:shd w:fill="D9E2F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000000"/>
                <w:sz w:val="17"/>
                <w:szCs w:val="17"/>
              </w:rPr>
              <w:t xml:space="preserve">Proyecto</w:t>
            </w:r>
          </w:p>
        </w:tc>
        <w:tc>
          <w:tcPr>
            <w:tcW w:type="dxa" w:w="7180"/>
            <w:tcMar>
              <w:top w:type="dxa" w:w="60"/>
              <w:left w:type="dxa" w:w="90"/>
              <w:bottom w:type="dxa" w:w="60"/>
              <w:right w:type="dxa" w:w="90"/>
            </w:tcMar>
            <w:vAlign w:val="center"/>
          </w:tcPr>
          <w:p>
            <w:pPr>
              <w:spacing w:after="0" w:line="240"/>
              <w:jc w:val="left"/>
            </w:pPr>
            <w:r>
              <w:rPr>
                <w:rFonts w:ascii="Calibri" w:cs="Calibri" w:eastAsia="Calibri" w:hAnsi="Calibri"/>
                <w:color w:val="000000"/>
                <w:sz w:val="17"/>
                <w:szCs w:val="17"/>
              </w:rPr>
              <w:t xml:space="preserve">Análisis de la propuesta de túnel de base ferroviario Ferropista</w:t>
            </w:r>
          </w:p>
        </w:tc>
      </w:tr>
      <w:tr>
        <w:tc>
          <w:tcPr>
            <w:tcW w:type="dxa" w:w="2900"/>
            <w:shd w:fill="D9E2F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000000"/>
                <w:sz w:val="17"/>
                <w:szCs w:val="17"/>
              </w:rPr>
              <w:t xml:space="preserve">Programa</w:t>
            </w:r>
          </w:p>
        </w:tc>
        <w:tc>
          <w:tcPr>
            <w:tcW w:type="dxa" w:w="7180"/>
            <w:tcMar>
              <w:top w:type="dxa" w:w="60"/>
              <w:left w:type="dxa" w:w="90"/>
              <w:bottom w:type="dxa" w:w="60"/>
              <w:right w:type="dxa" w:w="90"/>
            </w:tcMar>
            <w:vAlign w:val="center"/>
          </w:tcPr>
          <w:p>
            <w:pPr>
              <w:spacing w:after="0" w:line="240"/>
              <w:jc w:val="left"/>
            </w:pPr>
            <w:r>
              <w:rPr>
                <w:rFonts w:ascii="Calibri" w:cs="Calibri" w:eastAsia="Calibri" w:hAnsi="Calibri"/>
                <w:color w:val="000000"/>
                <w:sz w:val="17"/>
                <w:szCs w:val="17"/>
              </w:rPr>
              <w:t>Semestre Paz y Región 2026B · Semillero de Investigación GEOPAV · Universidad de Ibagué</w:t>
            </w:r>
          </w:p>
        </w:tc>
      </w:tr>
      <w:tr>
        <w:tc>
          <w:tcPr>
            <w:tcW w:type="dxa" w:w="2900"/>
            <w:shd w:fill="D9E2F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000000"/>
                <w:sz w:val="17"/>
                <w:szCs w:val="17"/>
              </w:rPr>
              <w:t xml:space="preserve">Objetivo específico</w:t>
            </w:r>
          </w:p>
        </w:tc>
        <w:tc>
          <w:tcPr>
            <w:tcW w:type="dxa" w:w="7180"/>
            <w:tcMar>
              <w:top w:type="dxa" w:w="60"/>
              <w:left w:type="dxa" w:w="90"/>
              <w:bottom w:type="dxa" w:w="60"/>
              <w:right w:type="dxa" w:w="90"/>
            </w:tcMar>
            <w:vAlign w:val="center"/>
          </w:tcPr>
          <w:p>
            <w:pPr>
              <w:spacing w:after="0" w:line="240"/>
              <w:jc w:val="left"/>
            </w:pPr>
            <w:r>
              <w:rPr>
                <w:rFonts w:ascii="Calibri" w:cs="Calibri" w:eastAsia="Calibri" w:hAnsi="Calibri"/>
                <w:color w:val="000000"/>
                <w:sz w:val="17"/>
                <w:szCs w:val="17"/>
              </w:rPr>
              <w:t xml:space="preserve">OE 1 — Analizar el perfil topográfico del corredor mediante un Modelo de Elevación Digital, para definir el trazado espacial preliminar del túnel de base y verificar la pendiente longitudinal admisible</w:t>
            </w:r>
          </w:p>
        </w:tc>
      </w:tr>
      <w:tr>
        <w:tc>
          <w:tcPr>
            <w:tcW w:type="dxa" w:w="2900"/>
            <w:shd w:fill="D9E2F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000000"/>
                <w:sz w:val="17"/>
                <w:szCs w:val="17"/>
              </w:rPr>
              <w:t xml:space="preserve">Responsable</w:t>
            </w:r>
          </w:p>
        </w:tc>
        <w:tc>
          <w:tcPr>
            <w:tcW w:type="dxa" w:w="7180"/>
            <w:tcMar>
              <w:top w:type="dxa" w:w="60"/>
              <w:left w:type="dxa" w:w="90"/>
              <w:bottom w:type="dxa" w:w="60"/>
              <w:right w:type="dxa" w:w="90"/>
            </w:tcMar>
            <w:vAlign w:val="center"/>
          </w:tcPr>
          <w:p>
            <w:pPr>
              <w:spacing w:after="0" w:line="240"/>
              <w:jc w:val="left"/>
            </w:pPr>
            <w:r>
              <w:rPr>
                <w:rFonts w:ascii="Calibri" w:cs="Calibri" w:eastAsia="Calibri" w:hAnsi="Calibri"/>
                <w:color w:val="000000"/>
                <w:sz w:val="17"/>
                <w:szCs w:val="17"/>
              </w:rPr>
              <w:t xml:space="preserve">Tamayo Osorio Miguel Ángel — Ingeniería Civil</w:t>
            </w:r>
          </w:p>
        </w:tc>
      </w:tr>
      <w:tr>
        <w:tc>
          <w:tcPr>
            <w:tcW w:type="dxa" w:w="2900"/>
            <w:shd w:fill="D9E2F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000000"/>
                <w:sz w:val="17"/>
                <w:szCs w:val="17"/>
              </w:rPr>
              <w:t xml:space="preserve">Fecha de elaboración</w:t>
            </w:r>
          </w:p>
        </w:tc>
        <w:tc>
          <w:tcPr>
            <w:tcW w:type="dxa" w:w="7180"/>
            <w:tcMar>
              <w:top w:type="dxa" w:w="60"/>
              <w:left w:type="dxa" w:w="90"/>
              <w:bottom w:type="dxa" w:w="60"/>
              <w:right w:type="dxa" w:w="90"/>
            </w:tcMar>
            <w:vAlign w:val="center"/>
          </w:tcPr>
          <w:p>
            <w:pPr>
              <w:spacing w:after="0" w:line="240"/>
              <w:jc w:val="left"/>
            </w:pPr>
            <w:r>
              <w:rPr>
                <w:rFonts w:ascii="Calibri" w:cs="Calibri" w:eastAsia="Calibri" w:hAnsi="Calibri"/>
                <w:color w:val="000000"/>
                <w:sz w:val="17"/>
                <w:szCs w:val="17"/>
              </w:rPr>
              <w:t>1 de septiembre de 2026 · revisión 2: 7 de septiembre de 2026 · revisión 3: 9 de septiembre de 2026</w:t>
            </w:r>
          </w:p>
        </w:tc>
      </w:tr>
      <w:tr>
        <w:tc>
          <w:tcPr>
            <w:tcW w:type="dxa" w:w="2900"/>
            <w:shd w:fill="FCE4D6"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000000"/>
                <w:sz w:val="17"/>
                <w:szCs w:val="17"/>
              </w:rPr>
              <w:t xml:space="preserve">Estado del documento</w:t>
            </w:r>
          </w:p>
        </w:tc>
        <w:tc>
          <w:tcPr>
            <w:tcW w:type="dxa" w:w="7180"/>
            <w:tcMar>
              <w:top w:type="dxa" w:w="60"/>
              <w:left w:type="dxa" w:w="90"/>
              <w:bottom w:type="dxa" w:w="60"/>
              <w:right w:type="dxa" w:w="90"/>
            </w:tcMar>
            <w:vAlign w:val="center"/>
          </w:tcPr>
          <w:p>
            <w:pPr>
              <w:spacing w:after="0" w:line="240"/>
              <w:jc w:val="left"/>
            </w:pPr>
            <w:r>
              <w:rPr>
                <w:rFonts w:ascii="Calibri" w:cs="Calibri" w:eastAsia="Calibri" w:hAnsi="Calibri"/>
                <w:color w:val="000000"/>
                <w:sz w:val="17"/>
                <w:szCs w:val="17"/>
              </w:rPr>
              <w:t>Preliminar — nivel de prefactibilidad. No constituye diseño. Revisión 2: se corrigieron tres defectos de reproducibilidad, ver sección 5.3. Revisión 3: se retiró de la sección 5.1 y de la tabla de resultados la afirmación de que los 3.393 msnm corroboran los 3.300 msnm de la ponencia.</w:t>
            </w:r>
          </w:p>
        </w:tc>
      </w:tr>
    </w:tbl>
    <w:p>
      <w:pPr>
        <w:pStyle w:val="Heading1"/>
        <w:spacing w:after="160" w:before="320"/>
      </w:pPr>
      <w:r>
        <w:rPr>
          <w:rFonts w:ascii="Calibri" w:cs="Calibri" w:eastAsia="Calibri" w:hAnsi="Calibri"/>
          <w:b/>
          <w:bCs/>
          <w:color w:val="1F3864"/>
          <w:sz w:val="30"/>
          <w:szCs w:val="30"/>
        </w:rPr>
        <w:t xml:space="preserve">1. Para qué sirve este documento</w:t>
      </w:r>
    </w:p>
    <w:p>
      <w:pPr>
        <w:spacing w:after="120" w:line="276"/>
        <w:jc w:val="both"/>
      </w:pPr>
      <w:r>
        <w:rPr>
          <w:rFonts w:ascii="Calibri" w:cs="Calibri" w:eastAsia="Calibri" w:hAnsi="Calibri"/>
          <w:color w:val="000000"/>
          <w:sz w:val="21"/>
          <w:szCs w:val="21"/>
        </w:rPr>
        <w:t xml:space="preserve">Esta memoria responde tres preguntas sobre cada cifra publicada en los productos del OE 1: de dónde salió, cómo se obtuvo y qué tan confiable es. Si alguien pregunta el origen de un número en el perfil, el mapa o el gráfico de cobertura, la respuesta está aquí.</w:t>
      </w:r>
    </w:p>
    <w:p>
      <w:pPr>
        <w:spacing w:after="120" w:line="276"/>
        <w:jc w:val="both"/>
      </w:pPr>
      <w:r>
        <w:rPr>
          <w:rFonts w:ascii="Calibri" w:cs="Calibri" w:eastAsia="Calibri" w:hAnsi="Calibri"/>
          <w:color w:val="000000"/>
          <w:sz w:val="21"/>
          <w:szCs w:val="21"/>
        </w:rPr>
        <w:t xml:space="preserve">Todo el procesamiento es reproducible. El script que generó estos resultados se entrega con el documento y cualquier persona puede ejecutarlo y obtener los mismos valores.</w:t>
      </w:r>
    </w:p>
    <w:p>
      <w:pPr>
        <w:pStyle w:val="Heading1"/>
        <w:spacing w:after="160" w:before="320"/>
      </w:pPr>
      <w:r>
        <w:rPr>
          <w:rFonts w:ascii="Calibri" w:cs="Calibri" w:eastAsia="Calibri" w:hAnsi="Calibri"/>
          <w:b/>
          <w:bCs/>
          <w:color w:val="1F3864"/>
          <w:sz w:val="30"/>
          <w:szCs w:val="30"/>
        </w:rPr>
        <w:t xml:space="preserve">2. Sistema de marcas de origen</w:t>
      </w:r>
    </w:p>
    <w:p>
      <w:pPr>
        <w:spacing w:after="120" w:line="276"/>
        <w:jc w:val="both"/>
      </w:pPr>
      <w:r>
        <w:rPr>
          <w:rFonts w:ascii="Calibri" w:cs="Calibri" w:eastAsia="Calibri" w:hAnsi="Calibri"/>
          <w:color w:val="000000"/>
          <w:sz w:val="21"/>
          <w:szCs w:val="21"/>
        </w:rPr>
        <w:t xml:space="preserve">Ninguna cifra entra al análisis sin una de estas cuatro marcas. Es la regla que impide que un dato sin respaldo se cuele en un producto: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8980"/>
      </w:tblGrid>
      <w:tr>
        <w:tc>
          <w:tcPr>
            <w:tcW w:type="dxa" w:w="1100"/>
            <w:shd w:fill="D9E2F3" w:color="auto" w:val="clear"/>
            <w:tcMar>
              <w:top w:type="dxa" w:w="60"/>
              <w:left w:type="dxa" w:w="90"/>
              <w:bottom w:type="dxa" w:w="60"/>
              <w:right w:type="dxa" w:w="90"/>
            </w:tcMar>
            <w:vAlign w:val="center"/>
          </w:tcPr>
          <w:p>
            <w:pPr>
              <w:spacing w:after="0" w:line="240"/>
              <w:jc w:val="center"/>
            </w:pPr>
            <w:r>
              <w:rPr>
                <w:rFonts w:ascii="Calibri" w:cs="Calibri" w:eastAsia="Calibri" w:hAnsi="Calibri"/>
                <w:b/>
                <w:bCs/>
                <w:color w:val="000000"/>
                <w:sz w:val="17"/>
                <w:szCs w:val="17"/>
              </w:rPr>
              <w:t xml:space="preserve">Marca</w:t>
            </w:r>
          </w:p>
        </w:tc>
        <w:tc>
          <w:tcPr>
            <w:tcW w:type="dxa" w:w="8980"/>
            <w:shd w:fill="D9E2F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000000"/>
                <w:sz w:val="17"/>
                <w:szCs w:val="17"/>
              </w:rPr>
              <w:t xml:space="preserve">Significado</w:t>
            </w:r>
          </w:p>
        </w:tc>
      </w:tr>
      <w:tr>
        <w:tc>
          <w:tcPr>
            <w:tcW w:type="dxa" w:w="1100"/>
            <w:tcMar>
              <w:top w:type="dxa" w:w="60"/>
              <w:left w:type="dxa" w:w="90"/>
              <w:bottom w:type="dxa" w:w="60"/>
              <w:right w:type="dxa" w:w="90"/>
            </w:tcMar>
            <w:vAlign w:val="center"/>
          </w:tcPr>
          <w:p>
            <w:pPr>
              <w:spacing w:after="0" w:line="240"/>
              <w:jc w:val="center"/>
            </w:pPr>
            <w:r>
              <w:rPr>
                <w:rFonts w:ascii="Calibri" w:cs="Calibri" w:eastAsia="Calibri" w:hAnsi="Calibri"/>
                <w:b/>
                <w:bCs/>
                <w:color w:val="000000"/>
                <w:sz w:val="17"/>
                <w:szCs w:val="17"/>
              </w:rPr>
              <w:t xml:space="preserve">F</w:t>
            </w:r>
          </w:p>
        </w:tc>
        <w:tc>
          <w:tcPr>
            <w:tcW w:type="dxa" w:w="8980"/>
            <w:tcMar>
              <w:top w:type="dxa" w:w="60"/>
              <w:left w:type="dxa" w:w="90"/>
              <w:bottom w:type="dxa" w:w="60"/>
              <w:right w:type="dxa" w:w="90"/>
            </w:tcMar>
            <w:vAlign w:val="center"/>
          </w:tcPr>
          <w:p>
            <w:pPr>
              <w:spacing w:after="0" w:line="240"/>
              <w:jc w:val="left"/>
            </w:pPr>
            <w:r>
              <w:rPr>
                <w:rFonts w:ascii="Calibri" w:cs="Calibri" w:eastAsia="Calibri" w:hAnsi="Calibri"/>
                <w:color w:val="000000"/>
                <w:sz w:val="17"/>
                <w:szCs w:val="17"/>
              </w:rPr>
              <w:t xml:space="preserve">Dato tomado de la ponencia de referencia, citando la diapositiva de origen.</w:t>
            </w:r>
          </w:p>
        </w:tc>
      </w:tr>
      <w:tr>
        <w:tc>
          <w:tcPr>
            <w:tcW w:type="dxa" w:w="1100"/>
            <w:tcMar>
              <w:top w:type="dxa" w:w="60"/>
              <w:left w:type="dxa" w:w="90"/>
              <w:bottom w:type="dxa" w:w="60"/>
              <w:right w:type="dxa" w:w="90"/>
            </w:tcMar>
            <w:vAlign w:val="center"/>
          </w:tcPr>
          <w:p>
            <w:pPr>
              <w:spacing w:after="0" w:line="240"/>
              <w:jc w:val="center"/>
            </w:pPr>
            <w:r>
              <w:rPr>
                <w:rFonts w:ascii="Calibri" w:cs="Calibri" w:eastAsia="Calibri" w:hAnsi="Calibri"/>
                <w:b/>
                <w:bCs/>
                <w:color w:val="000000"/>
                <w:sz w:val="17"/>
                <w:szCs w:val="17"/>
              </w:rPr>
              <w:t xml:space="preserve">CP</w:t>
            </w:r>
          </w:p>
        </w:tc>
        <w:tc>
          <w:tcPr>
            <w:tcW w:type="dxa" w:w="8980"/>
            <w:tcMar>
              <w:top w:type="dxa" w:w="60"/>
              <w:left w:type="dxa" w:w="90"/>
              <w:bottom w:type="dxa" w:w="60"/>
              <w:right w:type="dxa" w:w="90"/>
            </w:tcMar>
            <w:vAlign w:val="center"/>
          </w:tcPr>
          <w:p>
            <w:pPr>
              <w:spacing w:after="0" w:line="240"/>
              <w:jc w:val="left"/>
            </w:pPr>
            <w:r>
              <w:rPr>
                <w:rFonts w:ascii="Calibri" w:cs="Calibri" w:eastAsia="Calibri" w:hAnsi="Calibri"/>
                <w:color w:val="000000"/>
                <w:sz w:val="17"/>
                <w:szCs w:val="17"/>
              </w:rPr>
              <w:t xml:space="preserve">Cálculo propio del semillero. Reproducible de forma independiente con el script entregado.</w:t>
            </w:r>
          </w:p>
        </w:tc>
      </w:tr>
      <w:tr>
        <w:tc>
          <w:tcPr>
            <w:tcW w:type="dxa" w:w="1100"/>
            <w:tcMar>
              <w:top w:type="dxa" w:w="60"/>
              <w:left w:type="dxa" w:w="90"/>
              <w:bottom w:type="dxa" w:w="60"/>
              <w:right w:type="dxa" w:w="90"/>
            </w:tcMar>
            <w:vAlign w:val="center"/>
          </w:tcPr>
          <w:p>
            <w:pPr>
              <w:spacing w:after="0" w:line="240"/>
              <w:jc w:val="center"/>
            </w:pPr>
            <w:r>
              <w:rPr>
                <w:rFonts w:ascii="Calibri" w:cs="Calibri" w:eastAsia="Calibri" w:hAnsi="Calibri"/>
                <w:b/>
                <w:bCs/>
                <w:color w:val="000000"/>
                <w:sz w:val="17"/>
                <w:szCs w:val="17"/>
              </w:rPr>
              <w:t xml:space="preserve">H</w:t>
            </w:r>
          </w:p>
        </w:tc>
        <w:tc>
          <w:tcPr>
            <w:tcW w:type="dxa" w:w="8980"/>
            <w:tcMar>
              <w:top w:type="dxa" w:w="60"/>
              <w:left w:type="dxa" w:w="90"/>
              <w:bottom w:type="dxa" w:w="60"/>
              <w:right w:type="dxa" w:w="90"/>
            </w:tcMar>
            <w:vAlign w:val="center"/>
          </w:tcPr>
          <w:p>
            <w:pPr>
              <w:spacing w:after="0" w:line="240"/>
              <w:jc w:val="left"/>
            </w:pPr>
            <w:r>
              <w:rPr>
                <w:rFonts w:ascii="Calibri" w:cs="Calibri" w:eastAsia="Calibri" w:hAnsi="Calibri"/>
                <w:color w:val="000000"/>
                <w:sz w:val="17"/>
                <w:szCs w:val="17"/>
              </w:rPr>
              <w:t xml:space="preserve">Hipótesis de trabajo adoptada por el semillero. No es un dato medido y no debe citarse como tal.</w:t>
            </w:r>
          </w:p>
        </w:tc>
      </w:tr>
      <w:tr>
        <w:tc>
          <w:tcPr>
            <w:tcW w:type="dxa" w:w="1100"/>
            <w:tcMar>
              <w:top w:type="dxa" w:w="60"/>
              <w:left w:type="dxa" w:w="90"/>
              <w:bottom w:type="dxa" w:w="60"/>
              <w:right w:type="dxa" w:w="90"/>
            </w:tcMar>
            <w:vAlign w:val="center"/>
          </w:tcPr>
          <w:p>
            <w:pPr>
              <w:spacing w:after="0" w:line="240"/>
              <w:jc w:val="center"/>
            </w:pPr>
            <w:r>
              <w:rPr>
                <w:rFonts w:ascii="Calibri" w:cs="Calibri" w:eastAsia="Calibri" w:hAnsi="Calibri"/>
                <w:b/>
                <w:bCs/>
                <w:color w:val="000000"/>
                <w:sz w:val="17"/>
                <w:szCs w:val="17"/>
              </w:rPr>
              <w:t xml:space="preserve">DA</w:t>
            </w:r>
          </w:p>
        </w:tc>
        <w:tc>
          <w:tcPr>
            <w:tcW w:type="dxa" w:w="8980"/>
            <w:tcMar>
              <w:top w:type="dxa" w:w="60"/>
              <w:left w:type="dxa" w:w="90"/>
              <w:bottom w:type="dxa" w:w="60"/>
              <w:right w:type="dxa" w:w="90"/>
            </w:tcMar>
            <w:vAlign w:val="center"/>
          </w:tcPr>
          <w:p>
            <w:pPr>
              <w:spacing w:after="0" w:line="240"/>
              <w:jc w:val="left"/>
            </w:pPr>
            <w:r>
              <w:rPr>
                <w:rFonts w:ascii="Calibri" w:cs="Calibri" w:eastAsia="Calibri" w:hAnsi="Calibri"/>
                <w:color w:val="000000"/>
                <w:sz w:val="17"/>
                <w:szCs w:val="17"/>
              </w:rPr>
              <w:t xml:space="preserve">Dato abierto pendiente de consultar en su fuente oficial.</w:t>
            </w:r>
          </w:p>
        </w:tc>
      </w:tr>
    </w:tbl>
    <w:p>
      <w:pPr>
        <w:pStyle w:val="Heading1"/>
        <w:spacing w:after="160" w:before="320"/>
      </w:pPr>
      <w:r>
        <w:rPr>
          <w:rFonts w:ascii="Calibri" w:cs="Calibri" w:eastAsia="Calibri" w:hAnsi="Calibri"/>
          <w:b/>
          <w:bCs/>
          <w:color w:val="1F3864"/>
          <w:sz w:val="30"/>
          <w:szCs w:val="30"/>
        </w:rPr>
        <w:t xml:space="preserve">3. Fuentes de datos</w:t>
      </w:r>
    </w:p>
    <w:p>
      <w:pPr>
        <w:pStyle w:val="Heading2"/>
        <w:spacing w:after="120" w:before="240"/>
      </w:pPr>
      <w:r>
        <w:rPr>
          <w:rFonts w:ascii="Calibri" w:cs="Calibri" w:eastAsia="Calibri" w:hAnsi="Calibri"/>
          <w:b/>
          <w:bCs/>
          <w:color w:val="2E74B5"/>
          <w:sz w:val="24"/>
          <w:szCs w:val="24"/>
        </w:rPr>
        <w:t xml:space="preserve">3.1 Modelo de elevación digital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2900"/>
            <w:shd w:fill="D9E2F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000000"/>
                <w:sz w:val="17"/>
                <w:szCs w:val="17"/>
              </w:rPr>
              <w:t xml:space="preserve">Producto</w:t>
            </w:r>
          </w:p>
        </w:tc>
        <w:tc>
          <w:tcPr>
            <w:tcW w:type="dxa" w:w="7180"/>
            <w:tcMar>
              <w:top w:type="dxa" w:w="60"/>
              <w:left w:type="dxa" w:w="90"/>
              <w:bottom w:type="dxa" w:w="60"/>
              <w:right w:type="dxa" w:w="90"/>
            </w:tcMar>
            <w:vAlign w:val="center"/>
          </w:tcPr>
          <w:p>
            <w:pPr>
              <w:spacing w:after="0" w:line="240"/>
              <w:jc w:val="left"/>
            </w:pPr>
            <w:r>
              <w:rPr>
                <w:rFonts w:ascii="Calibri" w:cs="Calibri" w:eastAsia="Calibri" w:hAnsi="Calibri"/>
                <w:color w:val="000000"/>
                <w:sz w:val="17"/>
                <w:szCs w:val="17"/>
              </w:rPr>
              <w:t xml:space="preserve">Copernicus DEM GLO-30 — Modelo Digital de Superficie global</w:t>
            </w:r>
          </w:p>
        </w:tc>
      </w:tr>
      <w:tr>
        <w:tc>
          <w:tcPr>
            <w:tcW w:type="dxa" w:w="2900"/>
            <w:shd w:fill="D9E2F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000000"/>
                <w:sz w:val="17"/>
                <w:szCs w:val="17"/>
              </w:rPr>
              <w:t xml:space="preserve">Productor</w:t>
            </w:r>
          </w:p>
        </w:tc>
        <w:tc>
          <w:tcPr>
            <w:tcW w:type="dxa" w:w="7180"/>
            <w:tcMar>
              <w:top w:type="dxa" w:w="60"/>
              <w:left w:type="dxa" w:w="90"/>
              <w:bottom w:type="dxa" w:w="60"/>
              <w:right w:type="dxa" w:w="90"/>
            </w:tcMar>
            <w:vAlign w:val="center"/>
          </w:tcPr>
          <w:p>
            <w:pPr>
              <w:spacing w:after="0" w:line="240"/>
              <w:jc w:val="left"/>
            </w:pPr>
            <w:r>
              <w:rPr>
                <w:rFonts w:ascii="Calibri" w:cs="Calibri" w:eastAsia="Calibri" w:hAnsi="Calibri"/>
                <w:color w:val="000000"/>
                <w:sz w:val="17"/>
                <w:szCs w:val="17"/>
              </w:rPr>
              <w:t xml:space="preserve">Agencia Espacial Europea (ESA) / Airbus Defence and Space</w:t>
            </w:r>
          </w:p>
        </w:tc>
      </w:tr>
      <w:tr>
        <w:tc>
          <w:tcPr>
            <w:tcW w:type="dxa" w:w="2900"/>
            <w:shd w:fill="D9E2F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000000"/>
                <w:sz w:val="17"/>
                <w:szCs w:val="17"/>
              </w:rPr>
              <w:t xml:space="preserve">Resolución</w:t>
            </w:r>
          </w:p>
        </w:tc>
        <w:tc>
          <w:tcPr>
            <w:tcW w:type="dxa" w:w="7180"/>
            <w:tcMar>
              <w:top w:type="dxa" w:w="60"/>
              <w:left w:type="dxa" w:w="90"/>
              <w:bottom w:type="dxa" w:w="60"/>
              <w:right w:type="dxa" w:w="90"/>
            </w:tcMar>
            <w:vAlign w:val="center"/>
          </w:tcPr>
          <w:p>
            <w:pPr>
              <w:spacing w:after="0" w:line="240"/>
              <w:jc w:val="left"/>
            </w:pPr>
            <w:r>
              <w:rPr>
                <w:rFonts w:ascii="Calibri" w:cs="Calibri" w:eastAsia="Calibri" w:hAnsi="Calibri"/>
                <w:color w:val="000000"/>
                <w:sz w:val="17"/>
                <w:szCs w:val="17"/>
              </w:rPr>
              <w:t xml:space="preserve">1 arcosegundo ≈ 30 m en el ecuador</w:t>
            </w:r>
          </w:p>
        </w:tc>
      </w:tr>
      <w:tr>
        <w:tc>
          <w:tcPr>
            <w:tcW w:type="dxa" w:w="2900"/>
            <w:shd w:fill="D9E2F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000000"/>
                <w:sz w:val="17"/>
                <w:szCs w:val="17"/>
              </w:rPr>
              <w:t xml:space="preserve">Sistema de referencia</w:t>
            </w:r>
          </w:p>
        </w:tc>
        <w:tc>
          <w:tcPr>
            <w:tcW w:type="dxa" w:w="7180"/>
            <w:tcMar>
              <w:top w:type="dxa" w:w="60"/>
              <w:left w:type="dxa" w:w="90"/>
              <w:bottom w:type="dxa" w:w="60"/>
              <w:right w:type="dxa" w:w="90"/>
            </w:tcMar>
            <w:vAlign w:val="center"/>
          </w:tcPr>
          <w:p>
            <w:pPr>
              <w:spacing w:after="0" w:line="240"/>
              <w:jc w:val="left"/>
            </w:pPr>
            <w:r>
              <w:rPr>
                <w:rFonts w:ascii="Calibri" w:cs="Calibri" w:eastAsia="Calibri" w:hAnsi="Calibri"/>
                <w:color w:val="000000"/>
                <w:sz w:val="17"/>
                <w:szCs w:val="17"/>
              </w:rPr>
              <w:t xml:space="preserve">EPSG:4326 (WGS 84 geográficas). Alturas elipsoidales referidas a EGM2008</w:t>
            </w:r>
          </w:p>
        </w:tc>
      </w:tr>
      <w:tr>
        <w:tc>
          <w:tcPr>
            <w:tcW w:type="dxa" w:w="2900"/>
            <w:shd w:fill="D9E2F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000000"/>
                <w:sz w:val="17"/>
                <w:szCs w:val="17"/>
              </w:rPr>
              <w:t xml:space="preserve">Teselas utilizadas</w:t>
            </w:r>
          </w:p>
        </w:tc>
        <w:tc>
          <w:tcPr>
            <w:tcW w:type="dxa" w:w="7180"/>
            <w:tcMar>
              <w:top w:type="dxa" w:w="60"/>
              <w:left w:type="dxa" w:w="90"/>
              <w:bottom w:type="dxa" w:w="60"/>
              <w:right w:type="dxa" w:w="90"/>
            </w:tcMar>
            <w:vAlign w:val="center"/>
          </w:tcPr>
          <w:p>
            <w:pPr>
              <w:spacing w:after="0" w:line="240"/>
              <w:jc w:val="left"/>
            </w:pPr>
            <w:r>
              <w:rPr>
                <w:rFonts w:ascii="Calibri" w:cs="Calibri" w:eastAsia="Calibri" w:hAnsi="Calibri"/>
                <w:color w:val="000000"/>
                <w:sz w:val="17"/>
                <w:szCs w:val="17"/>
              </w:rPr>
              <w:t xml:space="preserve">N04_00_W076_00 y N04_00_W075_00 (cubren latitud 4°–5° N, longitud 76°–74° W)</w:t>
            </w:r>
          </w:p>
        </w:tc>
      </w:tr>
      <w:tr>
        <w:tc>
          <w:tcPr>
            <w:tcW w:type="dxa" w:w="2900"/>
            <w:shd w:fill="D9E2F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000000"/>
                <w:sz w:val="17"/>
                <w:szCs w:val="17"/>
              </w:rPr>
              <w:t xml:space="preserve">Fecha de descarga</w:t>
            </w:r>
          </w:p>
        </w:tc>
        <w:tc>
          <w:tcPr>
            <w:tcW w:type="dxa" w:w="7180"/>
            <w:tcMar>
              <w:top w:type="dxa" w:w="60"/>
              <w:left w:type="dxa" w:w="90"/>
              <w:bottom w:type="dxa" w:w="60"/>
              <w:right w:type="dxa" w:w="90"/>
            </w:tcMar>
            <w:vAlign w:val="center"/>
          </w:tcPr>
          <w:p>
            <w:pPr>
              <w:spacing w:after="0" w:line="240"/>
              <w:jc w:val="left"/>
            </w:pPr>
            <w:r>
              <w:rPr>
                <w:rFonts w:ascii="Calibri" w:cs="Calibri" w:eastAsia="Calibri" w:hAnsi="Calibri"/>
                <w:color w:val="000000"/>
                <w:sz w:val="17"/>
                <w:szCs w:val="17"/>
              </w:rPr>
              <w:t>1 de septiembre de 2026 · revisión 2: 7 de septiembre de 2026</w:t>
            </w:r>
          </w:p>
        </w:tc>
      </w:tr>
      <w:tr>
        <w:tc>
          <w:tcPr>
            <w:tcW w:type="dxa" w:w="2900"/>
            <w:shd w:fill="D9E2F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000000"/>
                <w:sz w:val="17"/>
                <w:szCs w:val="17"/>
              </w:rPr>
              <w:t xml:space="preserve">Acceso</w:t>
            </w:r>
          </w:p>
        </w:tc>
        <w:tc>
          <w:tcPr>
            <w:tcW w:type="dxa" w:w="7180"/>
            <w:tcMar>
              <w:top w:type="dxa" w:w="60"/>
              <w:left w:type="dxa" w:w="90"/>
              <w:bottom w:type="dxa" w:w="60"/>
              <w:right w:type="dxa" w:w="90"/>
            </w:tcMar>
            <w:vAlign w:val="center"/>
          </w:tcPr>
          <w:p>
            <w:pPr>
              <w:spacing w:after="0" w:line="240"/>
              <w:jc w:val="left"/>
            </w:pPr>
            <w:r>
              <w:rPr>
                <w:rFonts w:ascii="Calibri" w:cs="Calibri" w:eastAsia="Calibri" w:hAnsi="Calibri"/>
                <w:color w:val="000000"/>
                <w:sz w:val="17"/>
                <w:szCs w:val="17"/>
              </w:rPr>
              <w:t xml:space="preserve">Repositorio público en AWS Open Data, sin registro ni credenciales</w:t>
            </w:r>
          </w:p>
        </w:tc>
      </w:tr>
    </w:tbl>
    <w:p>
      <w:pPr>
        <w:spacing w:after="60" w:line="276"/>
        <w:jc w:val="both"/>
      </w:pPr>
      <w:r>
        <w:rPr>
          <w:rFonts w:ascii="Calibri" w:cs="Calibri" w:eastAsia="Calibri" w:hAnsi="Calibri"/>
          <w:color w:val="000000"/>
          <w:sz w:val="21"/>
          <w:szCs w:val="21"/>
        </w:rPr>
        <w:t xml:space="preserve">URL de descarga directa de las dos teselas: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2F2F2" w:color="auto" w:val="clear"/>
            <w:tcMar>
              <w:top w:type="dxa" w:w="120"/>
              <w:left w:type="dxa" w:w="160"/>
              <w:bottom w:type="dxa" w:w="120"/>
              <w:right w:type="dxa" w:w="160"/>
            </w:tcMar>
          </w:tcPr>
          <w:p>
            <w:pPr>
              <w:spacing w:after="50" w:line="250"/>
            </w:pPr>
            <w:r>
              <w:rPr>
                <w:rFonts w:ascii="Consolas" w:cs="Consolas" w:eastAsia="Consolas" w:hAnsi="Consolas"/>
                <w:sz w:val="17"/>
                <w:szCs w:val="17"/>
              </w:rPr>
              <w:t xml:space="preserve">https://copernicus-dem-30m.s3.amazonaws.com/Copernicus_DSM_COG_10_N04_00_W076_00_DEM/</w:t>
            </w:r>
          </w:p>
          <w:p>
            <w:pPr>
              <w:spacing w:after="50" w:line="250"/>
            </w:pPr>
            <w:r>
              <w:rPr>
                <w:rFonts w:ascii="Consolas" w:cs="Consolas" w:eastAsia="Consolas" w:hAnsi="Consolas"/>
                <w:sz w:val="17"/>
                <w:szCs w:val="17"/>
              </w:rPr>
              <w:t xml:space="preserve">    Copernicus_DSM_COG_10_N04_00_W076_00_DEM.tif</w:t>
            </w:r>
          </w:p>
          <w:p>
            <w:pPr>
              <w:spacing w:after="50" w:line="250"/>
            </w:pPr>
            <w:r>
              <w:rPr>
                <w:rFonts w:ascii="Consolas" w:cs="Consolas" w:eastAsia="Consolas" w:hAnsi="Consolas"/>
                <w:sz w:val="17"/>
                <w:szCs w:val="17"/>
              </w:rPr>
              <w:t xml:space="preserve">https://copernicus-dem-30m.s3.amazonaws.com/Copernicus_DSM_COG_10_N04_00_W075_00_DEM/</w:t>
            </w:r>
          </w:p>
          <w:p>
            <w:pPr>
              <w:spacing w:after="0" w:line="250"/>
            </w:pPr>
            <w:r>
              <w:rPr>
                <w:rFonts w:ascii="Consolas" w:cs="Consolas" w:eastAsia="Consolas" w:hAnsi="Consolas"/>
                <w:sz w:val="17"/>
                <w:szCs w:val="17"/>
              </w:rPr>
              <w:t xml:space="preserve">    Copernicus_DSM_COG_10_N04_00_W075_00_DEM.tif</w:t>
            </w:r>
          </w:p>
        </w:tc>
      </w:tr>
    </w:tbl>
    <w:p>
      <w:pPr>
        <w:spacing w:after="120" w:line="276"/>
        <w:jc w:val="both"/>
      </w:pPr>
      <w:r>
        <w:rPr>
          <w:rFonts w:ascii="Calibri" w:cs="Calibri" w:eastAsia="Calibri" w:hAnsi="Calibri"/>
          <w:b/>
          <w:bCs/>
          <w:color w:val="000000"/>
          <w:sz w:val="21"/>
          <w:szCs w:val="21"/>
        </w:rPr>
        <w:t xml:space="preserve">Por qué este DEM y no otro. </w:t>
      </w:r>
      <w:r>
        <w:rPr>
          <w:rFonts w:ascii="Calibri" w:cs="Calibri" w:eastAsia="Calibri" w:hAnsi="Calibri"/>
          <w:color w:val="000000"/>
          <w:sz w:val="21"/>
          <w:szCs w:val="21"/>
        </w:rPr>
        <w:t xml:space="preserve">El plan de acción mencionaba inicialmente ALOS PALSAR de 12,5 m. Se descartó por dos razones. Primera, exige cuenta de NASA Earthdata, lo que dificulta la reproducibilidad por terceros. Segunda, y más importante: el producto de 12,5 m del Alaska Satellite Facility es un remuestreo de datos de resolución cercana a 30 m, de modo que la ventaja de detalle es menor de lo que sugiere el número nominal. Para un perfil de 52 km la diferencia no altera las conclusiones.</w:t>
      </w:r>
    </w:p>
    <w:p>
      <w:pPr>
        <w:pStyle w:val="Heading2"/>
        <w:spacing w:after="120" w:before="240"/>
      </w:pPr>
      <w:r>
        <w:rPr>
          <w:rFonts w:ascii="Calibri" w:cs="Calibri" w:eastAsia="Calibri" w:hAnsi="Calibri"/>
          <w:b/>
          <w:bCs/>
          <w:color w:val="2E74B5"/>
          <w:sz w:val="24"/>
          <w:szCs w:val="24"/>
        </w:rPr>
        <w:t xml:space="preserve">3.2 Cotas de portal</w:t>
      </w:r>
    </w:p>
    <w:p>
      <w:pPr>
        <w:spacing w:after="120" w:line="276"/>
        <w:jc w:val="both"/>
      </w:pPr>
      <w:r>
        <w:rPr>
          <w:rFonts w:ascii="Calibri" w:cs="Calibri" w:eastAsia="Calibri" w:hAnsi="Calibri"/>
          <w:color w:val="000000"/>
          <w:sz w:val="21"/>
          <w:szCs w:val="21"/>
        </w:rPr>
        <w:t xml:space="preserve">Las cotas objetivo de 950 y 1.450 msnm provienen de la diapositiva 20 de la ponencia de referencia [F]. El semillero no las define: las toma como dato de entrada y localiza sobre el terreno los puntos que las cumplen.</w:t>
      </w:r>
    </w:p>
    <w:p>
      <w:pPr>
        <w:pStyle w:val="Heading2"/>
        <w:spacing w:after="120" w:before="240"/>
      </w:pPr>
      <w:r>
        <w:rPr>
          <w:rFonts w:ascii="Calibri" w:cs="Calibri" w:eastAsia="Calibri" w:hAnsi="Calibri"/>
          <w:b/>
          <w:bCs/>
          <w:color w:val="2E74B5"/>
          <w:sz w:val="24"/>
          <w:szCs w:val="24"/>
        </w:rPr>
        <w:t xml:space="preserve">3.3 Cotas de control para validación</w:t>
      </w:r>
    </w:p>
    <w:p>
      <w:pPr>
        <w:spacing w:after="120" w:line="276"/>
        <w:jc w:val="both"/>
      </w:pPr>
      <w:r>
        <w:rPr>
          <w:rFonts w:ascii="Calibri" w:cs="Calibri" w:eastAsia="Calibri" w:hAnsi="Calibri"/>
          <w:color w:val="000000"/>
          <w:sz w:val="21"/>
          <w:szCs w:val="21"/>
        </w:rPr>
        <w:t xml:space="preserve">Se usaron las altitudes de cabecera municipal de uso corriente para Ibagué, Armenia, Cajamarca y Calarcá. Son valores de referencia general, no levantamientos topográficos, y así se declaran [DA]. Sirven para detectar un error grueso del DEM, que es su único propósito aquí.</w:t>
      </w:r>
    </w:p>
    <w:p>
      <w:pPr>
        <w:pStyle w:val="Heading1"/>
        <w:spacing w:after="160" w:before="320"/>
      </w:pPr>
      <w:r>
        <w:rPr>
          <w:rFonts w:ascii="Calibri" w:cs="Calibri" w:eastAsia="Calibri" w:hAnsi="Calibri"/>
          <w:b/>
          <w:bCs/>
          <w:color w:val="1F3864"/>
          <w:sz w:val="30"/>
          <w:szCs w:val="30"/>
        </w:rPr>
        <w:t xml:space="preserve">4. Metodología</w:t>
      </w:r>
    </w:p>
    <w:p>
      <w:pPr>
        <w:pStyle w:val="Heading2"/>
        <w:spacing w:after="120" w:before="240"/>
      </w:pPr>
      <w:r>
        <w:rPr>
          <w:rFonts w:ascii="Calibri" w:cs="Calibri" w:eastAsia="Calibri" w:hAnsi="Calibri"/>
          <w:b/>
          <w:bCs/>
          <w:color w:val="2E74B5"/>
          <w:sz w:val="24"/>
          <w:szCs w:val="24"/>
        </w:rPr>
        <w:t xml:space="preserve">Paso 1 — Descarga y mosaico</w:t>
      </w:r>
    </w:p>
    <w:p>
      <w:pPr>
        <w:spacing w:after="120" w:line="276"/>
        <w:jc w:val="both"/>
      </w:pPr>
      <w:r>
        <w:rPr>
          <w:rFonts w:ascii="Calibri" w:cs="Calibri" w:eastAsia="Calibri" w:hAnsi="Calibri"/>
          <w:color w:val="000000"/>
          <w:sz w:val="21"/>
          <w:szCs w:val="21"/>
        </w:rPr>
        <w:t>Se descargaron las dos teselas y se unieron en un mosaico único que cubre el corredor completo. Resultado: 7.200 × 3.600 píxeles. Del mosaico se recortó la ventana de trabajo (longitud 75,82° a 75,03° W, latitud 4,20° a 4,65° N), que es el archivo entregado como evidencia de la actividad 1.</w:t>
      </w:r>
    </w:p>
    <w:p>
      <w:pPr>
        <w:pStyle w:val="Heading2"/>
        <w:spacing w:after="120" w:before="240"/>
      </w:pPr>
      <w:r>
        <w:rPr>
          <w:rFonts w:ascii="Calibri" w:cs="Calibri" w:eastAsia="Calibri" w:hAnsi="Calibri"/>
          <w:b/>
          <w:bCs/>
          <w:color w:val="2E74B5"/>
          <w:sz w:val="24"/>
          <w:szCs w:val="24"/>
        </w:rPr>
        <w:t xml:space="preserve">Paso 2 — Validación del DEM</w:t>
      </w:r>
    </w:p>
    <w:p>
      <w:pPr>
        <w:spacing w:after="120" w:line="276"/>
        <w:jc w:val="both"/>
      </w:pPr>
      <w:r>
        <w:rPr>
          <w:rFonts w:ascii="Calibri" w:cs="Calibri" w:eastAsia="Calibri" w:hAnsi="Calibri"/>
          <w:color w:val="000000"/>
          <w:sz w:val="21"/>
          <w:szCs w:val="21"/>
        </w:rPr>
        <w:t xml:space="preserve">Antes de usar el modelo se contrastó contra las cuatro cotas de control. Este paso es el que convierte un archivo descargado en un dato verificado: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900"/>
        <w:gridCol w:w="1900"/>
        <w:gridCol w:w="1980"/>
      </w:tblGrid>
      <w:tr>
        <w:tc>
          <w:tcPr>
            <w:tcW w:type="dxa" w:w="2400"/>
            <w:shd w:fill="D9E2F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000000"/>
                <w:sz w:val="17"/>
                <w:szCs w:val="17"/>
              </w:rPr>
              <w:t xml:space="preserve">Punto</w:t>
            </w:r>
          </w:p>
        </w:tc>
        <w:tc>
          <w:tcPr>
            <w:tcW w:type="dxa" w:w="1900"/>
            <w:shd w:fill="D9E2F3" w:color="auto" w:val="clear"/>
            <w:tcMar>
              <w:top w:type="dxa" w:w="60"/>
              <w:left w:type="dxa" w:w="90"/>
              <w:bottom w:type="dxa" w:w="60"/>
              <w:right w:type="dxa" w:w="90"/>
            </w:tcMar>
            <w:vAlign w:val="center"/>
          </w:tcPr>
          <w:p>
            <w:pPr>
              <w:spacing w:after="0" w:line="240"/>
              <w:jc w:val="center"/>
            </w:pPr>
            <w:r>
              <w:rPr>
                <w:rFonts w:ascii="Calibri" w:cs="Calibri" w:eastAsia="Calibri" w:hAnsi="Calibri"/>
                <w:b/>
                <w:bCs/>
                <w:color w:val="000000"/>
                <w:sz w:val="17"/>
                <w:szCs w:val="17"/>
              </w:rPr>
              <w:t xml:space="preserve">Cota DEM</w:t>
            </w:r>
          </w:p>
        </w:tc>
        <w:tc>
          <w:tcPr>
            <w:tcW w:type="dxa" w:w="1900"/>
            <w:shd w:fill="D9E2F3" w:color="auto" w:val="clear"/>
            <w:tcMar>
              <w:top w:type="dxa" w:w="60"/>
              <w:left w:type="dxa" w:w="90"/>
              <w:bottom w:type="dxa" w:w="60"/>
              <w:right w:type="dxa" w:w="90"/>
            </w:tcMar>
            <w:vAlign w:val="center"/>
          </w:tcPr>
          <w:p>
            <w:pPr>
              <w:spacing w:after="0" w:line="240"/>
              <w:jc w:val="center"/>
            </w:pPr>
            <w:r>
              <w:rPr>
                <w:rFonts w:ascii="Calibri" w:cs="Calibri" w:eastAsia="Calibri" w:hAnsi="Calibri"/>
                <w:b/>
                <w:bCs/>
                <w:color w:val="000000"/>
                <w:sz w:val="17"/>
                <w:szCs w:val="17"/>
              </w:rPr>
              <w:t xml:space="preserve">Referencia</w:t>
            </w:r>
          </w:p>
        </w:tc>
        <w:tc>
          <w:tcPr>
            <w:tcW w:type="dxa" w:w="1900"/>
            <w:shd w:fill="D9E2F3" w:color="auto" w:val="clear"/>
            <w:tcMar>
              <w:top w:type="dxa" w:w="60"/>
              <w:left w:type="dxa" w:w="90"/>
              <w:bottom w:type="dxa" w:w="60"/>
              <w:right w:type="dxa" w:w="90"/>
            </w:tcMar>
            <w:vAlign w:val="center"/>
          </w:tcPr>
          <w:p>
            <w:pPr>
              <w:spacing w:after="0" w:line="240"/>
              <w:jc w:val="center"/>
            </w:pPr>
            <w:r>
              <w:rPr>
                <w:rFonts w:ascii="Calibri" w:cs="Calibri" w:eastAsia="Calibri" w:hAnsi="Calibri"/>
                <w:b/>
                <w:bCs/>
                <w:color w:val="000000"/>
                <w:sz w:val="17"/>
                <w:szCs w:val="17"/>
              </w:rPr>
              <w:t xml:space="preserve">Diferencia</w:t>
            </w:r>
          </w:p>
        </w:tc>
        <w:tc>
          <w:tcPr>
            <w:tcW w:type="dxa" w:w="1980"/>
            <w:shd w:fill="D9E2F3" w:color="auto" w:val="clear"/>
            <w:tcMar>
              <w:top w:type="dxa" w:w="60"/>
              <w:left w:type="dxa" w:w="90"/>
              <w:bottom w:type="dxa" w:w="60"/>
              <w:right w:type="dxa" w:w="90"/>
            </w:tcMar>
            <w:vAlign w:val="center"/>
          </w:tcPr>
          <w:p>
            <w:pPr>
              <w:spacing w:after="0" w:line="240"/>
              <w:jc w:val="center"/>
            </w:pPr>
            <w:r>
              <w:rPr>
                <w:rFonts w:ascii="Calibri" w:cs="Calibri" w:eastAsia="Calibri" w:hAnsi="Calibri"/>
                <w:b/>
                <w:bCs/>
                <w:color w:val="000000"/>
                <w:sz w:val="17"/>
                <w:szCs w:val="17"/>
              </w:rPr>
              <w:t xml:space="preserve">Absoluta</w:t>
            </w:r>
          </w:p>
        </w:tc>
      </w:tr>
      <w:tr>
        <w:tc>
          <w:tcPr>
            <w:tcW w:type="dxa" w:w="2400"/>
            <w:tcMar>
              <w:top w:type="dxa" w:w="60"/>
              <w:left w:type="dxa" w:w="90"/>
              <w:bottom w:type="dxa" w:w="60"/>
              <w:right w:type="dxa" w:w="90"/>
            </w:tcMar>
            <w:vAlign w:val="center"/>
          </w:tcPr>
          <w:p>
            <w:pPr>
              <w:spacing w:after="0" w:line="240"/>
              <w:jc w:val="left"/>
            </w:pPr>
            <w:r>
              <w:rPr>
                <w:rFonts w:ascii="Calibri" w:cs="Calibri" w:eastAsia="Calibri" w:hAnsi="Calibri"/>
                <w:color w:val="000000"/>
                <w:sz w:val="17"/>
                <w:szCs w:val="17"/>
              </w:rPr>
              <w:t xml:space="preserve">Armenia</w:t>
            </w:r>
          </w:p>
        </w:tc>
        <w:tc>
          <w:tcPr>
            <w:tcW w:type="dxa" w:w="1900"/>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 xml:space="preserve">1.474</w:t>
            </w:r>
          </w:p>
        </w:tc>
        <w:tc>
          <w:tcPr>
            <w:tcW w:type="dxa" w:w="1900"/>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 xml:space="preserve">1.483</w:t>
            </w:r>
          </w:p>
        </w:tc>
        <w:tc>
          <w:tcPr>
            <w:tcW w:type="dxa" w:w="1900"/>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 xml:space="preserve">−9 m</w:t>
            </w:r>
          </w:p>
        </w:tc>
        <w:tc>
          <w:tcPr>
            <w:tcW w:type="dxa" w:w="1980"/>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 xml:space="preserve">9 m</w:t>
            </w:r>
          </w:p>
        </w:tc>
      </w:tr>
      <w:tr>
        <w:tc>
          <w:tcPr>
            <w:tcW w:type="dxa" w:w="2400"/>
            <w:tcMar>
              <w:top w:type="dxa" w:w="60"/>
              <w:left w:type="dxa" w:w="90"/>
              <w:bottom w:type="dxa" w:w="60"/>
              <w:right w:type="dxa" w:w="90"/>
            </w:tcMar>
            <w:vAlign w:val="center"/>
          </w:tcPr>
          <w:p>
            <w:pPr>
              <w:spacing w:after="0" w:line="240"/>
              <w:jc w:val="left"/>
            </w:pPr>
            <w:r>
              <w:rPr>
                <w:rFonts w:ascii="Calibri" w:cs="Calibri" w:eastAsia="Calibri" w:hAnsi="Calibri"/>
                <w:color w:val="000000"/>
                <w:sz w:val="17"/>
                <w:szCs w:val="17"/>
              </w:rPr>
              <w:t xml:space="preserve">Cajamarca</w:t>
            </w:r>
          </w:p>
        </w:tc>
        <w:tc>
          <w:tcPr>
            <w:tcW w:type="dxa" w:w="1900"/>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 xml:space="preserve">1.848</w:t>
            </w:r>
          </w:p>
        </w:tc>
        <w:tc>
          <w:tcPr>
            <w:tcW w:type="dxa" w:w="1900"/>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 xml:space="preserve">1.813</w:t>
            </w:r>
          </w:p>
        </w:tc>
        <w:tc>
          <w:tcPr>
            <w:tcW w:type="dxa" w:w="1900"/>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 xml:space="preserve">+35 m</w:t>
            </w:r>
          </w:p>
        </w:tc>
        <w:tc>
          <w:tcPr>
            <w:tcW w:type="dxa" w:w="1980"/>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 xml:space="preserve">35 m</w:t>
            </w:r>
          </w:p>
        </w:tc>
      </w:tr>
      <w:tr>
        <w:tc>
          <w:tcPr>
            <w:tcW w:type="dxa" w:w="2400"/>
            <w:tcMar>
              <w:top w:type="dxa" w:w="60"/>
              <w:left w:type="dxa" w:w="90"/>
              <w:bottom w:type="dxa" w:w="60"/>
              <w:right w:type="dxa" w:w="90"/>
            </w:tcMar>
            <w:vAlign w:val="center"/>
          </w:tcPr>
          <w:p>
            <w:pPr>
              <w:spacing w:after="0" w:line="240"/>
              <w:jc w:val="left"/>
            </w:pPr>
            <w:r>
              <w:rPr>
                <w:rFonts w:ascii="Calibri" w:cs="Calibri" w:eastAsia="Calibri" w:hAnsi="Calibri"/>
                <w:color w:val="000000"/>
                <w:sz w:val="17"/>
                <w:szCs w:val="17"/>
              </w:rPr>
              <w:t xml:space="preserve">Calarcá</w:t>
            </w:r>
          </w:p>
        </w:tc>
        <w:tc>
          <w:tcPr>
            <w:tcW w:type="dxa" w:w="1900"/>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 xml:space="preserve">1.497</w:t>
            </w:r>
          </w:p>
        </w:tc>
        <w:tc>
          <w:tcPr>
            <w:tcW w:type="dxa" w:w="1900"/>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 xml:space="preserve">1.536</w:t>
            </w:r>
          </w:p>
        </w:tc>
        <w:tc>
          <w:tcPr>
            <w:tcW w:type="dxa" w:w="1900"/>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 xml:space="preserve">−39 m</w:t>
            </w:r>
          </w:p>
        </w:tc>
        <w:tc>
          <w:tcPr>
            <w:tcW w:type="dxa" w:w="1980"/>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 xml:space="preserve">39 m</w:t>
            </w:r>
          </w:p>
        </w:tc>
      </w:tr>
      <w:tr>
        <w:tc>
          <w:tcPr>
            <w:tcW w:type="dxa" w:w="2400"/>
            <w:tcMar>
              <w:top w:type="dxa" w:w="60"/>
              <w:left w:type="dxa" w:w="90"/>
              <w:bottom w:type="dxa" w:w="60"/>
              <w:right w:type="dxa" w:w="90"/>
            </w:tcMar>
            <w:vAlign w:val="center"/>
          </w:tcPr>
          <w:p>
            <w:pPr>
              <w:spacing w:after="0" w:line="240"/>
              <w:jc w:val="left"/>
            </w:pPr>
            <w:r>
              <w:rPr>
                <w:rFonts w:ascii="Calibri" w:cs="Calibri" w:eastAsia="Calibri" w:hAnsi="Calibri"/>
                <w:color w:val="000000"/>
                <w:sz w:val="17"/>
                <w:szCs w:val="17"/>
              </w:rPr>
              <w:t xml:space="preserve">Ibagué</w:t>
            </w:r>
          </w:p>
        </w:tc>
        <w:tc>
          <w:tcPr>
            <w:tcW w:type="dxa" w:w="1900"/>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 xml:space="preserve">1.228</w:t>
            </w:r>
          </w:p>
        </w:tc>
        <w:tc>
          <w:tcPr>
            <w:tcW w:type="dxa" w:w="1900"/>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 xml:space="preserve">1.285</w:t>
            </w:r>
          </w:p>
        </w:tc>
        <w:tc>
          <w:tcPr>
            <w:tcW w:type="dxa" w:w="1900"/>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 xml:space="preserve">−57 m</w:t>
            </w:r>
          </w:p>
        </w:tc>
        <w:tc>
          <w:tcPr>
            <w:tcW w:type="dxa" w:w="1980"/>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 xml:space="preserve">57 m</w:t>
            </w:r>
          </w:p>
        </w:tc>
      </w:tr>
      <w:tr>
        <w:tc>
          <w:tcPr>
            <w:tcW w:type="dxa" w:w="2400"/>
            <w:shd w:fill="E2EFDA"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000000"/>
                <w:sz w:val="17"/>
                <w:szCs w:val="17"/>
              </w:rPr>
              <w:t xml:space="preserve">Error medio absoluto</w:t>
            </w:r>
          </w:p>
        </w:tc>
        <w:tc>
          <w:tcPr>
            <w:tcW w:type="dxa" w:w="1900"/>
            <w:shd w:fill="E2EFDA" w:color="auto" w:val="clear"/>
            <w:tcMar>
              <w:top w:type="dxa" w:w="60"/>
              <w:left w:type="dxa" w:w="90"/>
              <w:bottom w:type="dxa" w:w="60"/>
              <w:right w:type="dxa" w:w="90"/>
            </w:tcMar>
            <w:vAlign w:val="center"/>
          </w:tcPr>
          <w:p>
            <w:pPr>
              <w:spacing w:after="0" w:line="240"/>
              <w:jc w:val="left"/>
            </w:pPr>
            <w:r>
              <w:rPr>
                <w:rFonts w:ascii="Calibri" w:cs="Calibri" w:eastAsia="Calibri" w:hAnsi="Calibri"/>
                <w:color w:val="000000"/>
                <w:sz w:val="17"/>
                <w:szCs w:val="17"/>
              </w:rPr>
              <w:t xml:space="preserve"/>
            </w:r>
          </w:p>
        </w:tc>
        <w:tc>
          <w:tcPr>
            <w:tcW w:type="dxa" w:w="1900"/>
            <w:shd w:fill="E2EFDA" w:color="auto" w:val="clear"/>
            <w:tcMar>
              <w:top w:type="dxa" w:w="60"/>
              <w:left w:type="dxa" w:w="90"/>
              <w:bottom w:type="dxa" w:w="60"/>
              <w:right w:type="dxa" w:w="90"/>
            </w:tcMar>
            <w:vAlign w:val="center"/>
          </w:tcPr>
          <w:p>
            <w:pPr>
              <w:spacing w:after="0" w:line="240"/>
              <w:jc w:val="left"/>
            </w:pPr>
            <w:r>
              <w:rPr>
                <w:rFonts w:ascii="Calibri" w:cs="Calibri" w:eastAsia="Calibri" w:hAnsi="Calibri"/>
                <w:color w:val="000000"/>
                <w:sz w:val="17"/>
                <w:szCs w:val="17"/>
              </w:rPr>
              <w:t xml:space="preserve"/>
            </w:r>
          </w:p>
        </w:tc>
        <w:tc>
          <w:tcPr>
            <w:tcW w:type="dxa" w:w="1900"/>
            <w:shd w:fill="E2EFDA" w:color="auto" w:val="clear"/>
            <w:tcMar>
              <w:top w:type="dxa" w:w="60"/>
              <w:left w:type="dxa" w:w="90"/>
              <w:bottom w:type="dxa" w:w="60"/>
              <w:right w:type="dxa" w:w="90"/>
            </w:tcMar>
            <w:vAlign w:val="center"/>
          </w:tcPr>
          <w:p>
            <w:pPr>
              <w:spacing w:after="0" w:line="240"/>
              <w:jc w:val="left"/>
            </w:pPr>
            <w:r>
              <w:rPr>
                <w:rFonts w:ascii="Calibri" w:cs="Calibri" w:eastAsia="Calibri" w:hAnsi="Calibri"/>
                <w:color w:val="000000"/>
                <w:sz w:val="17"/>
                <w:szCs w:val="17"/>
              </w:rPr>
              <w:t xml:space="preserve"/>
            </w:r>
          </w:p>
        </w:tc>
        <w:tc>
          <w:tcPr>
            <w:tcW w:type="dxa" w:w="1980"/>
            <w:shd w:fill="E2EFDA" w:color="auto" w:val="clear"/>
            <w:tcMar>
              <w:top w:type="dxa" w:w="60"/>
              <w:left w:type="dxa" w:w="90"/>
              <w:bottom w:type="dxa" w:w="60"/>
              <w:right w:type="dxa" w:w="90"/>
            </w:tcMar>
            <w:vAlign w:val="center"/>
          </w:tcPr>
          <w:p>
            <w:pPr>
              <w:spacing w:after="0" w:line="240"/>
              <w:jc w:val="center"/>
            </w:pPr>
            <w:r>
              <w:rPr>
                <w:rFonts w:ascii="Calibri" w:cs="Calibri" w:eastAsia="Calibri" w:hAnsi="Calibri"/>
                <w:b/>
                <w:bCs/>
                <w:color w:val="000000"/>
                <w:sz w:val="17"/>
                <w:szCs w:val="17"/>
              </w:rPr>
              <w:t xml:space="preserve">35 m</w:t>
            </w:r>
          </w:p>
        </w:tc>
      </w:tr>
    </w:tbl>
    <w:p>
      <w:pPr>
        <w:spacing w:after="120" w:line="276"/>
        <w:jc w:val="both"/>
      </w:pPr>
      <w:r>
        <w:rPr>
          <w:rFonts w:ascii="Calibri" w:cs="Calibri" w:eastAsia="Calibri" w:hAnsi="Calibri"/>
          <w:color w:val="000000"/>
          <w:sz w:val="21"/>
          <w:szCs w:val="21"/>
        </w:rPr>
        <w:t xml:space="preserve">El error es del orden de un píxel del producto. Se concluye que el DEM es apto para un análisis de prefactibilidad. Nótese que el mayor error corresponde a Ibagué, donde el relieve urbano es más quebrado y la cota de referencia es un valor único para una ciudad extensa en ladera.</w:t>
      </w:r>
    </w:p>
    <w:p>
      <w:pPr>
        <w:pStyle w:val="Heading2"/>
        <w:spacing w:after="120" w:before="240"/>
      </w:pPr>
      <w:r>
        <w:rPr>
          <w:rFonts w:ascii="Calibri" w:cs="Calibri" w:eastAsia="Calibri" w:hAnsi="Calibri"/>
          <w:b/>
          <w:bCs/>
          <w:color w:val="2E74B5"/>
          <w:sz w:val="24"/>
          <w:szCs w:val="24"/>
        </w:rPr>
        <w:t xml:space="preserve">Paso 3 — Localización de los portales</w:t>
      </w:r>
    </w:p>
    <w:p>
      <w:pPr>
        <w:spacing w:after="120" w:line="276"/>
        <w:jc w:val="both"/>
      </w:pPr>
      <w:r>
        <w:rPr>
          <w:rFonts w:ascii="Calibri" w:cs="Calibri" w:eastAsia="Calibri" w:hAnsi="Calibri"/>
          <w:color w:val="000000"/>
          <w:sz w:val="21"/>
          <w:szCs w:val="21"/>
        </w:rPr>
        <w:t>Se barrió una malla de 0,002° de paso (≈222 m) en dos ventanas de búsqueda y se retuvieron todos los píxeles cuya cota difiere de la objetivo en 2 m o menos (tolerancia adoptada [H], ver 5.2):</w:t>
      </w:r>
    </w:p>
    <w:p>
      <w:pPr>
        <w:pStyle w:val="ListParagraph"/>
        <w:numPr>
          <w:ilvl w:val="0"/>
          <w:numId w:val="2"/>
        </w:numPr>
        <w:spacing w:after="90" w:line="276"/>
        <w:jc w:val="both"/>
      </w:pPr>
      <w:r>
        <w:rPr>
          <w:rFonts w:ascii="Calibri" w:cs="Calibri" w:eastAsia="Calibri" w:hAnsi="Calibri"/>
          <w:sz w:val="21"/>
          <w:szCs w:val="21"/>
        </w:rPr>
        <w:t>Ventana oriental: latitud 4,30°–4,50° N, longitud 75,20°–75,00° W. Resultado: 57 candidatos a 950 msnm. ATENCIÓN: esta ventana es una restricción activa; ver 5.3.</w:t>
      </w:r>
    </w:p>
    <w:p>
      <w:pPr>
        <w:pStyle w:val="ListParagraph"/>
        <w:numPr>
          <w:ilvl w:val="0"/>
          <w:numId w:val="2"/>
        </w:numPr>
        <w:spacing w:after="90" w:line="276"/>
        <w:jc w:val="both"/>
      </w:pPr>
      <w:r>
        <w:rPr>
          <w:rFonts w:ascii="Calibri" w:cs="Calibri" w:eastAsia="Calibri" w:hAnsi="Calibri"/>
          <w:sz w:val="21"/>
          <w:szCs w:val="21"/>
        </w:rPr>
        <w:t>Ventana occidental: latitud 4,45°–4,60° N, longitud 75,75°–75,60° W. Resultado: 47 candidatos a 1.450 msnm.</w:t>
      </w:r>
    </w:p>
    <w:p>
      <w:pPr>
        <w:spacing w:after="120" w:line="276"/>
        <w:jc w:val="both"/>
      </w:pPr>
      <w:r>
        <w:rPr>
          <w:rFonts w:ascii="Calibri" w:cs="Calibri" w:eastAsia="Calibri" w:hAnsi="Calibri"/>
          <w:b/>
          <w:bCs/>
          <w:color w:val="000000"/>
          <w:sz w:val="21"/>
          <w:szCs w:val="21"/>
        </w:rPr>
        <w:t xml:space="preserve">Criterio de selección del par y su limitación. </w:t>
      </w:r>
      <w:r>
        <w:rPr>
          <w:rFonts w:ascii="Calibri" w:cs="Calibri" w:eastAsia="Calibri" w:hAnsi="Calibri"/>
          <w:color w:val="000000"/>
          <w:sz w:val="21"/>
          <w:szCs w:val="21"/>
        </w:rPr>
        <w:t xml:space="preserve">Entre todos los pares posibles se escogió el que minimiza la distancia geodésica, es decir, el túnel más corto. Es un criterio estrictamente geométrico. NO incorpora geología, susceptibilidad a movimientos en masa, accesibilidad para el ataque de obra ni disponibilidad predial. Esa verificación corresponde al objetivo específico 3 y debe hacerse antes de dar la ubicación por definitiva.</w:t>
      </w:r>
    </w:p>
    <w:p>
      <w:pPr>
        <w:spacing w:after="120" w:line="276"/>
        <w:jc w:val="both"/>
      </w:pPr>
      <w:r>
        <w:rPr>
          <w:rFonts w:ascii="Calibri" w:cs="Calibri" w:eastAsia="Calibri" w:hAnsi="Calibri"/>
          <w:color w:val="000000"/>
          <w:sz w:val="21"/>
          <w:szCs w:val="21"/>
        </w:rPr>
        <w:t xml:space="preserve">Portales resultantes: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2600"/>
        <w:gridCol w:w="2300"/>
        <w:gridCol w:w="2280"/>
      </w:tblGrid>
      <w:tr>
        <w:tc>
          <w:tcPr>
            <w:tcW w:type="dxa" w:w="2900"/>
            <w:shd w:fill="D9E2F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000000"/>
                <w:sz w:val="17"/>
                <w:szCs w:val="17"/>
              </w:rPr>
              <w:t xml:space="preserve">Portal</w:t>
            </w:r>
          </w:p>
        </w:tc>
        <w:tc>
          <w:tcPr>
            <w:tcW w:type="dxa" w:w="2600"/>
            <w:shd w:fill="D9E2F3" w:color="auto" w:val="clear"/>
            <w:tcMar>
              <w:top w:type="dxa" w:w="60"/>
              <w:left w:type="dxa" w:w="90"/>
              <w:bottom w:type="dxa" w:w="60"/>
              <w:right w:type="dxa" w:w="90"/>
            </w:tcMar>
            <w:vAlign w:val="center"/>
          </w:tcPr>
          <w:p>
            <w:pPr>
              <w:spacing w:after="0" w:line="240"/>
              <w:jc w:val="center"/>
            </w:pPr>
            <w:r>
              <w:rPr>
                <w:rFonts w:ascii="Calibri" w:cs="Calibri" w:eastAsia="Calibri" w:hAnsi="Calibri"/>
                <w:b/>
                <w:bCs/>
                <w:color w:val="000000"/>
                <w:sz w:val="17"/>
                <w:szCs w:val="17"/>
              </w:rPr>
              <w:t xml:space="preserve">Coordenadas</w:t>
            </w:r>
          </w:p>
        </w:tc>
        <w:tc>
          <w:tcPr>
            <w:tcW w:type="dxa" w:w="2300"/>
            <w:shd w:fill="D9E2F3" w:color="auto" w:val="clear"/>
            <w:tcMar>
              <w:top w:type="dxa" w:w="60"/>
              <w:left w:type="dxa" w:w="90"/>
              <w:bottom w:type="dxa" w:w="60"/>
              <w:right w:type="dxa" w:w="90"/>
            </w:tcMar>
            <w:vAlign w:val="center"/>
          </w:tcPr>
          <w:p>
            <w:pPr>
              <w:spacing w:after="0" w:line="240"/>
              <w:jc w:val="center"/>
            </w:pPr>
            <w:r>
              <w:rPr>
                <w:rFonts w:ascii="Calibri" w:cs="Calibri" w:eastAsia="Calibri" w:hAnsi="Calibri"/>
                <w:b/>
                <w:bCs/>
                <w:color w:val="000000"/>
                <w:sz w:val="17"/>
                <w:szCs w:val="17"/>
              </w:rPr>
              <w:t xml:space="preserve">Cota obtenida</w:t>
            </w:r>
          </w:p>
        </w:tc>
        <w:tc>
          <w:tcPr>
            <w:tcW w:type="dxa" w:w="2280"/>
            <w:shd w:fill="D9E2F3" w:color="auto" w:val="clear"/>
            <w:tcMar>
              <w:top w:type="dxa" w:w="60"/>
              <w:left w:type="dxa" w:w="90"/>
              <w:bottom w:type="dxa" w:w="60"/>
              <w:right w:type="dxa" w:w="90"/>
            </w:tcMar>
            <w:vAlign w:val="center"/>
          </w:tcPr>
          <w:p>
            <w:pPr>
              <w:spacing w:after="0" w:line="240"/>
              <w:jc w:val="center"/>
            </w:pPr>
            <w:r>
              <w:rPr>
                <w:rFonts w:ascii="Calibri" w:cs="Calibri" w:eastAsia="Calibri" w:hAnsi="Calibri"/>
                <w:b/>
                <w:bCs/>
                <w:color w:val="000000"/>
                <w:sz w:val="17"/>
                <w:szCs w:val="17"/>
              </w:rPr>
              <w:t xml:space="preserve">Cota objetivo</w:t>
            </w:r>
          </w:p>
        </w:tc>
      </w:tr>
      <w:tr>
        <w:tc>
          <w:tcPr>
            <w:tcW w:type="dxa" w:w="2900"/>
            <w:tcMar>
              <w:top w:type="dxa" w:w="60"/>
              <w:left w:type="dxa" w:w="90"/>
              <w:bottom w:type="dxa" w:w="60"/>
              <w:right w:type="dxa" w:w="90"/>
            </w:tcMar>
            <w:vAlign w:val="center"/>
          </w:tcPr>
          <w:p>
            <w:pPr>
              <w:spacing w:after="0" w:line="240"/>
              <w:jc w:val="left"/>
            </w:pPr>
            <w:r>
              <w:rPr>
                <w:rFonts w:ascii="Calibri" w:cs="Calibri" w:eastAsia="Calibri" w:hAnsi="Calibri"/>
                <w:color w:val="000000"/>
                <w:sz w:val="17"/>
                <w:szCs w:val="17"/>
              </w:rPr>
              <w:t>Oriental · extremo Ibagué · Ibagué, Tolima (DANE 73001)</w:t>
            </w:r>
          </w:p>
        </w:tc>
        <w:tc>
          <w:tcPr>
            <w:tcW w:type="dxa" w:w="2600"/>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4,3640 N · 75,1960 W</w:t>
            </w:r>
          </w:p>
        </w:tc>
        <w:tc>
          <w:tcPr>
            <w:tcW w:type="dxa" w:w="2300"/>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951,0 msnm</w:t>
            </w:r>
          </w:p>
        </w:tc>
        <w:tc>
          <w:tcPr>
            <w:tcW w:type="dxa" w:w="2280"/>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 xml:space="preserve">950 msnm</w:t>
            </w:r>
          </w:p>
        </w:tc>
      </w:tr>
      <w:tr>
        <w:tc>
          <w:tcPr>
            <w:tcW w:type="dxa" w:w="2900"/>
            <w:tcMar>
              <w:top w:type="dxa" w:w="60"/>
              <w:left w:type="dxa" w:w="90"/>
              <w:bottom w:type="dxa" w:w="60"/>
              <w:right w:type="dxa" w:w="90"/>
            </w:tcMar>
            <w:vAlign w:val="center"/>
          </w:tcPr>
          <w:p>
            <w:pPr>
              <w:spacing w:after="0" w:line="240"/>
              <w:jc w:val="left"/>
            </w:pPr>
            <w:r>
              <w:rPr>
                <w:rFonts w:ascii="Calibri" w:cs="Calibri" w:eastAsia="Calibri" w:hAnsi="Calibri"/>
                <w:color w:val="000000"/>
                <w:sz w:val="17"/>
                <w:szCs w:val="17"/>
              </w:rPr>
              <w:t>Occidental · extremo Armenia · Calarcá, Quindío (DANE 63130)</w:t>
            </w:r>
          </w:p>
        </w:tc>
        <w:tc>
          <w:tcPr>
            <w:tcW w:type="dxa" w:w="2600"/>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4,4800 N · 75,6520 W</w:t>
            </w:r>
          </w:p>
        </w:tc>
        <w:tc>
          <w:tcPr>
            <w:tcW w:type="dxa" w:w="2300"/>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1.451,5 msnm</w:t>
            </w:r>
          </w:p>
        </w:tc>
        <w:tc>
          <w:tcPr>
            <w:tcW w:type="dxa" w:w="2280"/>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 xml:space="preserve">1.450 msnm</w:t>
            </w:r>
          </w:p>
        </w:tc>
      </w:tr>
    </w:tbl>
    <w:p>
      <w:pPr>
        <w:pStyle w:val="Heading2"/>
        <w:spacing w:after="120" w:before="240"/>
      </w:pPr>
      <w:r>
        <w:rPr>
          <w:rFonts w:ascii="Calibri" w:cs="Calibri" w:eastAsia="Calibri" w:hAnsi="Calibri"/>
          <w:b/>
          <w:bCs/>
          <w:color w:val="2E74B5"/>
          <w:sz w:val="24"/>
          <w:szCs w:val="24"/>
        </w:rPr>
        <w:t xml:space="preserve">Paso 4 — Alineamiento, rasante y cobertura</w:t>
      </w:r>
    </w:p>
    <w:p>
      <w:pPr>
        <w:spacing w:after="120" w:line="276"/>
        <w:jc w:val="both"/>
      </w:pPr>
      <w:r>
        <w:rPr>
          <w:rFonts w:ascii="Calibri" w:cs="Calibri" w:eastAsia="Calibri" w:hAnsi="Calibri"/>
          <w:color w:val="000000"/>
          <w:sz w:val="21"/>
          <w:szCs w:val="21"/>
        </w:rPr>
        <w:t xml:space="preserve">Se generó el alineamiento como la geodésica entre portales sobre el elipsoide WGS 84, discretizada en 1.500 puntos (separación ≈ 35 m, coherente con el píxel del DEM). En cada punto se extrajo la cota del terreno y se calculó:</w:t>
      </w:r>
    </w:p>
    <w:p>
      <w:pPr>
        <w:spacing w:after="40" w:line="276"/>
        <w:jc w:val="both"/>
      </w:pPr>
      <w:r>
        <w:rPr>
          <w:rFonts w:ascii="Calibri" w:cs="Calibri" w:eastAsia="Calibri" w:hAnsi="Calibri"/>
          <w:b/>
          <w:bCs/>
          <w:color w:val="000000"/>
          <w:sz w:val="21"/>
          <w:szCs w:val="21"/>
        </w:rPr>
        <w:t xml:space="preserve">Longitud del alineamiento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2F2F2" w:color="auto" w:val="clear"/>
            <w:tcMar>
              <w:top w:type="dxa" w:w="120"/>
              <w:left w:type="dxa" w:w="160"/>
              <w:bottom w:type="dxa" w:w="120"/>
              <w:right w:type="dxa" w:w="160"/>
            </w:tcMar>
          </w:tcPr>
          <w:p>
            <w:pPr>
              <w:spacing w:after="0" w:line="250"/>
            </w:pPr>
            <w:r>
              <w:rPr>
                <w:rFonts w:ascii="Consolas" w:cs="Consolas" w:eastAsia="Consolas" w:hAnsi="Consolas"/>
                <w:sz w:val="17"/>
                <w:szCs w:val="17"/>
              </w:rPr>
              <w:t>L = distancia geodésica (WGS84) entre portales  =  52.211,8 m</w:t>
            </w:r>
          </w:p>
        </w:tc>
      </w:tr>
    </w:tbl>
    <w:p>
      <w:pPr>
        <w:spacing w:after="40" w:line="276"/>
        <w:jc w:val="both"/>
      </w:pPr>
      <w:r>
        <w:rPr>
          <w:rFonts w:ascii="Calibri" w:cs="Calibri" w:eastAsia="Calibri" w:hAnsi="Calibri"/>
          <w:b/>
          <w:bCs/>
          <w:color w:val="000000"/>
          <w:sz w:val="21"/>
          <w:szCs w:val="21"/>
        </w:rPr>
        <w:t xml:space="preserve">Cota de la rasante en la abscisa 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2F2F2" w:color="auto" w:val="clear"/>
            <w:tcMar>
              <w:top w:type="dxa" w:w="120"/>
              <w:left w:type="dxa" w:w="160"/>
              <w:bottom w:type="dxa" w:w="120"/>
              <w:right w:type="dxa" w:w="160"/>
            </w:tcMar>
          </w:tcPr>
          <w:p>
            <w:pPr>
              <w:spacing w:after="50" w:line="250"/>
            </w:pPr>
            <w:r>
              <w:rPr>
                <w:rFonts w:ascii="Consolas" w:cs="Consolas" w:eastAsia="Consolas" w:hAnsi="Consolas"/>
                <w:sz w:val="17"/>
                <w:szCs w:val="17"/>
              </w:rPr>
              <w:t xml:space="preserve">z_rasante(s) = z_portal_oriental + (z_portal_occidental − z_portal_oriental) × (s / L)</w:t>
            </w:r>
          </w:p>
          <w:p>
            <w:pPr>
              <w:spacing w:after="0" w:line="250"/>
            </w:pPr>
            <w:r>
              <w:rPr>
                <w:rFonts w:ascii="Consolas" w:cs="Consolas" w:eastAsia="Consolas" w:hAnsi="Consolas"/>
                <w:sz w:val="17"/>
                <w:szCs w:val="17"/>
              </w:rPr>
              <w:t>z_rasante(s) = 951,0 + 500,5 × (s / 52.211,8)</w:t>
            </w:r>
          </w:p>
        </w:tc>
      </w:tr>
    </w:tbl>
    <w:p>
      <w:pPr>
        <w:spacing w:after="40" w:line="276"/>
        <w:jc w:val="both"/>
      </w:pPr>
      <w:r>
        <w:rPr>
          <w:rFonts w:ascii="Calibri" w:cs="Calibri" w:eastAsia="Calibri" w:hAnsi="Calibri"/>
          <w:b/>
          <w:bCs/>
          <w:color w:val="000000"/>
          <w:sz w:val="21"/>
          <w:szCs w:val="21"/>
        </w:rPr>
        <w:t xml:space="preserve">Pendiente longitudinal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2F2F2" w:color="auto" w:val="clear"/>
            <w:tcMar>
              <w:top w:type="dxa" w:w="120"/>
              <w:left w:type="dxa" w:w="160"/>
              <w:bottom w:type="dxa" w:w="120"/>
              <w:right w:type="dxa" w:w="160"/>
            </w:tcMar>
          </w:tcPr>
          <w:p>
            <w:pPr>
              <w:spacing w:after="0" w:line="250"/>
            </w:pPr>
            <w:r>
              <w:rPr>
                <w:rFonts w:ascii="Consolas" w:cs="Consolas" w:eastAsia="Consolas" w:hAnsi="Consolas"/>
                <w:sz w:val="17"/>
                <w:szCs w:val="17"/>
              </w:rPr>
              <w:t>i = 100 × (1.451,5 − 951,0) / 52.211,8  =  100 × 500,5 / 52.211,8  =  0,959 %</w:t>
            </w:r>
          </w:p>
        </w:tc>
      </w:tr>
    </w:tbl>
    <w:p>
      <w:pPr>
        <w:spacing w:after="40" w:line="276"/>
        <w:jc w:val="both"/>
      </w:pPr>
      <w:r>
        <w:rPr>
          <w:rFonts w:ascii="Calibri" w:cs="Calibri" w:eastAsia="Calibri" w:hAnsi="Calibri"/>
          <w:b/>
          <w:bCs/>
          <w:color w:val="000000"/>
          <w:sz w:val="21"/>
          <w:szCs w:val="21"/>
        </w:rPr>
        <w:t xml:space="preserve">Cobertura sobre la clave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2F2F2" w:color="auto" w:val="clear"/>
            <w:tcMar>
              <w:top w:type="dxa" w:w="120"/>
              <w:left w:type="dxa" w:w="160"/>
              <w:bottom w:type="dxa" w:w="120"/>
              <w:right w:type="dxa" w:w="160"/>
            </w:tcMar>
          </w:tcPr>
          <w:p>
            <w:pPr>
              <w:spacing w:after="0" w:line="250"/>
            </w:pPr>
            <w:r>
              <w:rPr>
                <w:rFonts w:ascii="Consolas" w:cs="Consolas" w:eastAsia="Consolas" w:hAnsi="Consolas"/>
                <w:sz w:val="17"/>
                <w:szCs w:val="17"/>
              </w:rPr>
              <w:t xml:space="preserve">cobertura(s) = z_terreno(s) − z_rasante(s)</w:t>
            </w:r>
          </w:p>
        </w:tc>
      </w:tr>
    </w:tbl>
    <w:p>
      <w:pPr>
        <w:spacing w:after="120" w:line="276"/>
        <w:jc w:val="both"/>
      </w:pPr>
      <w:r>
        <w:rPr>
          <w:rFonts w:ascii="Calibri" w:cs="Calibri" w:eastAsia="Calibri" w:hAnsi="Calibri"/>
          <w:b/>
          <w:bCs/>
          <w:color w:val="000000"/>
          <w:sz w:val="21"/>
          <w:szCs w:val="21"/>
        </w:rPr>
        <w:t xml:space="preserve">Sobre la rasante recta. </w:t>
      </w:r>
      <w:r>
        <w:rPr>
          <w:rFonts w:ascii="Calibri" w:cs="Calibri" w:eastAsia="Calibri" w:hAnsi="Calibri"/>
          <w:color w:val="000000"/>
          <w:sz w:val="21"/>
          <w:szCs w:val="21"/>
        </w:rPr>
        <w:t xml:space="preserve">Se adoptó una rasante de pendiente constante entre portales. Un diseño real incorpora acuerdos verticales en los cambios de pendiente y contrapendientes para el drenaje del túnel durante la construcción. Para verificar el cumplimiento del criterio de pendiente máxima, la recta es suficiente y es el caso más desfavorable en promedio.</w:t>
      </w:r>
    </w:p>
    <w:p>
      <w:pPr>
        <w:pStyle w:val="Heading1"/>
        <w:spacing w:after="160" w:before="320"/>
      </w:pPr>
      <w:r>
        <w:rPr>
          <w:rFonts w:ascii="Calibri" w:cs="Calibri" w:eastAsia="Calibri" w:hAnsi="Calibri"/>
          <w:b/>
          <w:bCs/>
          <w:color w:val="1F3864"/>
          <w:sz w:val="30"/>
          <w:szCs w:val="30"/>
        </w:rPr>
        <w:t xml:space="preserve">5. Resultados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400"/>
        <w:gridCol w:w="2200"/>
        <w:gridCol w:w="1400"/>
        <w:gridCol w:w="2080"/>
      </w:tblGrid>
      <w:tr>
        <w:tc>
          <w:tcPr>
            <w:tcW w:type="dxa" w:w="4400"/>
            <w:shd w:fill="D9E2F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000000"/>
                <w:sz w:val="17"/>
                <w:szCs w:val="17"/>
              </w:rPr>
              <w:t xml:space="preserve">Resultado</w:t>
            </w:r>
          </w:p>
        </w:tc>
        <w:tc>
          <w:tcPr>
            <w:tcW w:type="dxa" w:w="2200"/>
            <w:shd w:fill="D9E2F3" w:color="auto" w:val="clear"/>
            <w:tcMar>
              <w:top w:type="dxa" w:w="60"/>
              <w:left w:type="dxa" w:w="90"/>
              <w:bottom w:type="dxa" w:w="60"/>
              <w:right w:type="dxa" w:w="90"/>
            </w:tcMar>
            <w:vAlign w:val="center"/>
          </w:tcPr>
          <w:p>
            <w:pPr>
              <w:spacing w:after="0" w:line="240"/>
              <w:jc w:val="center"/>
            </w:pPr>
            <w:r>
              <w:rPr>
                <w:rFonts w:ascii="Calibri" w:cs="Calibri" w:eastAsia="Calibri" w:hAnsi="Calibri"/>
                <w:b/>
                <w:bCs/>
                <w:color w:val="000000"/>
                <w:sz w:val="17"/>
                <w:szCs w:val="17"/>
              </w:rPr>
              <w:t xml:space="preserve">Valor</w:t>
            </w:r>
          </w:p>
        </w:tc>
        <w:tc>
          <w:tcPr>
            <w:tcW w:type="dxa" w:w="1400"/>
            <w:shd w:fill="D9E2F3" w:color="auto" w:val="clear"/>
            <w:tcMar>
              <w:top w:type="dxa" w:w="60"/>
              <w:left w:type="dxa" w:w="90"/>
              <w:bottom w:type="dxa" w:w="60"/>
              <w:right w:type="dxa" w:w="90"/>
            </w:tcMar>
            <w:vAlign w:val="center"/>
          </w:tcPr>
          <w:p>
            <w:pPr>
              <w:spacing w:after="0" w:line="240"/>
              <w:jc w:val="center"/>
            </w:pPr>
            <w:r>
              <w:rPr>
                <w:rFonts w:ascii="Calibri" w:cs="Calibri" w:eastAsia="Calibri" w:hAnsi="Calibri"/>
                <w:b/>
                <w:bCs/>
                <w:color w:val="000000"/>
                <w:sz w:val="17"/>
                <w:szCs w:val="17"/>
              </w:rPr>
              <w:t xml:space="preserve">Marca</w:t>
            </w:r>
          </w:p>
        </w:tc>
        <w:tc>
          <w:tcPr>
            <w:tcW w:type="dxa" w:w="2080"/>
            <w:shd w:fill="D9E2F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000000"/>
                <w:sz w:val="17"/>
                <w:szCs w:val="17"/>
              </w:rPr>
              <w:t xml:space="preserve">Verificación</w:t>
            </w:r>
          </w:p>
        </w:tc>
      </w:tr>
      <w:tr>
        <w:tc>
          <w:tcPr>
            <w:tcW w:type="dxa" w:w="4400"/>
            <w:tcMar>
              <w:top w:type="dxa" w:w="60"/>
              <w:left w:type="dxa" w:w="90"/>
              <w:bottom w:type="dxa" w:w="60"/>
              <w:right w:type="dxa" w:w="90"/>
            </w:tcMar>
            <w:vAlign w:val="center"/>
          </w:tcPr>
          <w:p>
            <w:pPr>
              <w:spacing w:after="0" w:line="240"/>
              <w:jc w:val="left"/>
            </w:pPr>
            <w:r>
              <w:rPr>
                <w:rFonts w:ascii="Calibri" w:cs="Calibri" w:eastAsia="Calibri" w:hAnsi="Calibri"/>
                <w:color w:val="000000"/>
                <w:sz w:val="17"/>
                <w:szCs w:val="17"/>
              </w:rPr>
              <w:t xml:space="preserve">Longitud del alineamiento</w:t>
            </w:r>
          </w:p>
        </w:tc>
        <w:tc>
          <w:tcPr>
            <w:tcW w:type="dxa" w:w="2200"/>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 xml:space="preserve">52,21 km</w:t>
            </w:r>
          </w:p>
        </w:tc>
        <w:tc>
          <w:tcPr>
            <w:tcW w:type="dxa" w:w="1400"/>
            <w:tcMar>
              <w:top w:type="dxa" w:w="60"/>
              <w:left w:type="dxa" w:w="90"/>
              <w:bottom w:type="dxa" w:w="60"/>
              <w:right w:type="dxa" w:w="90"/>
            </w:tcMar>
            <w:vAlign w:val="center"/>
          </w:tcPr>
          <w:p>
            <w:pPr>
              <w:spacing w:after="0" w:line="240"/>
              <w:jc w:val="center"/>
            </w:pPr>
            <w:r>
              <w:rPr>
                <w:rFonts w:ascii="Calibri" w:cs="Calibri" w:eastAsia="Calibri" w:hAnsi="Calibri"/>
                <w:b/>
                <w:bCs/>
                <w:color w:val="000000"/>
                <w:sz w:val="17"/>
                <w:szCs w:val="17"/>
              </w:rPr>
              <w:t xml:space="preserve">CP</w:t>
            </w:r>
          </w:p>
        </w:tc>
        <w:tc>
          <w:tcPr>
            <w:tcW w:type="dxa" w:w="2080"/>
            <w:tcMar>
              <w:top w:type="dxa" w:w="60"/>
              <w:left w:type="dxa" w:w="90"/>
              <w:bottom w:type="dxa" w:w="60"/>
              <w:right w:type="dxa" w:w="90"/>
            </w:tcMar>
            <w:vAlign w:val="center"/>
          </w:tcPr>
          <w:p>
            <w:pPr>
              <w:spacing w:after="0" w:line="240"/>
              <w:jc w:val="left"/>
            </w:pPr>
            <w:r>
              <w:rPr>
                <w:rFonts w:ascii="Calibri" w:cs="Calibri" w:eastAsia="Calibri" w:hAnsi="Calibri"/>
                <w:color w:val="000000"/>
                <w:sz w:val="17"/>
                <w:szCs w:val="17"/>
              </w:rPr>
              <w:t xml:space="preserve">—</w:t>
            </w:r>
          </w:p>
        </w:tc>
      </w:tr>
      <w:tr>
        <w:tc>
          <w:tcPr>
            <w:tcW w:type="dxa" w:w="4400"/>
            <w:tcMar>
              <w:top w:type="dxa" w:w="60"/>
              <w:left w:type="dxa" w:w="90"/>
              <w:bottom w:type="dxa" w:w="60"/>
              <w:right w:type="dxa" w:w="90"/>
            </w:tcMar>
            <w:vAlign w:val="center"/>
          </w:tcPr>
          <w:p>
            <w:pPr>
              <w:spacing w:after="0" w:line="240"/>
              <w:jc w:val="left"/>
            </w:pPr>
            <w:r>
              <w:rPr>
                <w:rFonts w:ascii="Calibri" w:cs="Calibri" w:eastAsia="Calibri" w:hAnsi="Calibri"/>
                <w:color w:val="000000"/>
                <w:sz w:val="17"/>
                <w:szCs w:val="17"/>
              </w:rPr>
              <w:t xml:space="preserve">Desnivel entre portales</w:t>
            </w:r>
          </w:p>
        </w:tc>
        <w:tc>
          <w:tcPr>
            <w:tcW w:type="dxa" w:w="2200"/>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500,5 m</w:t>
            </w:r>
          </w:p>
        </w:tc>
        <w:tc>
          <w:tcPr>
            <w:tcW w:type="dxa" w:w="1400"/>
            <w:tcMar>
              <w:top w:type="dxa" w:w="60"/>
              <w:left w:type="dxa" w:w="90"/>
              <w:bottom w:type="dxa" w:w="60"/>
              <w:right w:type="dxa" w:w="90"/>
            </w:tcMar>
            <w:vAlign w:val="center"/>
          </w:tcPr>
          <w:p>
            <w:pPr>
              <w:spacing w:after="0" w:line="240"/>
              <w:jc w:val="center"/>
            </w:pPr>
            <w:r>
              <w:rPr>
                <w:rFonts w:ascii="Calibri" w:cs="Calibri" w:eastAsia="Calibri" w:hAnsi="Calibri"/>
                <w:b/>
                <w:bCs/>
                <w:color w:val="000000"/>
                <w:sz w:val="17"/>
                <w:szCs w:val="17"/>
              </w:rPr>
              <w:t xml:space="preserve">CP</w:t>
            </w:r>
          </w:p>
        </w:tc>
        <w:tc>
          <w:tcPr>
            <w:tcW w:type="dxa" w:w="2080"/>
            <w:tcMar>
              <w:top w:type="dxa" w:w="60"/>
              <w:left w:type="dxa" w:w="90"/>
              <w:bottom w:type="dxa" w:w="60"/>
              <w:right w:type="dxa" w:w="90"/>
            </w:tcMar>
            <w:vAlign w:val="center"/>
          </w:tcPr>
          <w:p>
            <w:pPr>
              <w:spacing w:after="0" w:line="240"/>
              <w:jc w:val="left"/>
            </w:pPr>
            <w:r>
              <w:rPr>
                <w:rFonts w:ascii="Calibri" w:cs="Calibri" w:eastAsia="Calibri" w:hAnsi="Calibri"/>
                <w:color w:val="000000"/>
                <w:sz w:val="17"/>
                <w:szCs w:val="17"/>
              </w:rPr>
              <w:t>1.451,5 − 951,0</w:t>
            </w:r>
          </w:p>
        </w:tc>
      </w:tr>
      <w:tr>
        <w:tc>
          <w:tcPr>
            <w:tcW w:type="dxa" w:w="4400"/>
            <w:tcMar>
              <w:top w:type="dxa" w:w="60"/>
              <w:left w:type="dxa" w:w="90"/>
              <w:bottom w:type="dxa" w:w="60"/>
              <w:right w:type="dxa" w:w="90"/>
            </w:tcMar>
            <w:vAlign w:val="center"/>
          </w:tcPr>
          <w:p>
            <w:pPr>
              <w:spacing w:after="0" w:line="240"/>
              <w:jc w:val="left"/>
            </w:pPr>
            <w:r>
              <w:rPr>
                <w:rFonts w:ascii="Calibri" w:cs="Calibri" w:eastAsia="Calibri" w:hAnsi="Calibri"/>
                <w:b/>
                <w:bCs/>
                <w:color w:val="000000"/>
                <w:sz w:val="17"/>
                <w:szCs w:val="17"/>
              </w:rPr>
              <w:t xml:space="preserve">Pendiente longitudinal de la rasante</w:t>
            </w:r>
          </w:p>
        </w:tc>
        <w:tc>
          <w:tcPr>
            <w:tcW w:type="dxa" w:w="2200"/>
            <w:shd w:fill="E2EFDA" w:color="auto" w:val="clear"/>
            <w:tcMar>
              <w:top w:type="dxa" w:w="60"/>
              <w:left w:type="dxa" w:w="90"/>
              <w:bottom w:type="dxa" w:w="60"/>
              <w:right w:type="dxa" w:w="90"/>
            </w:tcMar>
            <w:vAlign w:val="center"/>
          </w:tcPr>
          <w:p>
            <w:pPr>
              <w:spacing w:after="0" w:line="240"/>
              <w:jc w:val="center"/>
            </w:pPr>
            <w:r>
              <w:rPr>
                <w:rFonts w:ascii="Calibri" w:cs="Calibri" w:eastAsia="Calibri" w:hAnsi="Calibri"/>
                <w:b/>
                <w:bCs/>
                <w:color w:val="000000"/>
                <w:sz w:val="17"/>
                <w:szCs w:val="17"/>
              </w:rPr>
              <w:t>0,959 %</w:t>
            </w:r>
          </w:p>
        </w:tc>
        <w:tc>
          <w:tcPr>
            <w:tcW w:type="dxa" w:w="1400"/>
            <w:tcMar>
              <w:top w:type="dxa" w:w="60"/>
              <w:left w:type="dxa" w:w="90"/>
              <w:bottom w:type="dxa" w:w="60"/>
              <w:right w:type="dxa" w:w="90"/>
            </w:tcMar>
            <w:vAlign w:val="center"/>
          </w:tcPr>
          <w:p>
            <w:pPr>
              <w:spacing w:after="0" w:line="240"/>
              <w:jc w:val="center"/>
            </w:pPr>
            <w:r>
              <w:rPr>
                <w:rFonts w:ascii="Calibri" w:cs="Calibri" w:eastAsia="Calibri" w:hAnsi="Calibri"/>
                <w:b/>
                <w:bCs/>
                <w:color w:val="000000"/>
                <w:sz w:val="17"/>
                <w:szCs w:val="17"/>
              </w:rPr>
              <w:t xml:space="preserve">CP</w:t>
            </w:r>
          </w:p>
        </w:tc>
        <w:tc>
          <w:tcPr>
            <w:tcW w:type="dxa" w:w="2080"/>
            <w:shd w:fill="E2EFDA" w:color="auto" w:val="clear"/>
            <w:tcMar>
              <w:top w:type="dxa" w:w="60"/>
              <w:left w:type="dxa" w:w="90"/>
              <w:bottom w:type="dxa" w:w="60"/>
              <w:right w:type="dxa" w:w="90"/>
            </w:tcMar>
            <w:vAlign w:val="center"/>
          </w:tcPr>
          <w:p>
            <w:pPr>
              <w:spacing w:after="0" w:line="240"/>
              <w:jc w:val="left"/>
            </w:pPr>
            <w:r>
              <w:rPr>
                <w:rFonts w:ascii="Calibri" w:cs="Calibri" w:eastAsia="Calibri" w:hAnsi="Calibri"/>
                <w:color w:val="000000"/>
                <w:sz w:val="17"/>
                <w:szCs w:val="17"/>
              </w:rPr>
              <w:t xml:space="preserve">Cumple &lt; 1,5 %</w:t>
            </w:r>
          </w:p>
        </w:tc>
      </w:tr>
      <w:tr>
        <w:tc>
          <w:tcPr>
            <w:tcW w:type="dxa" w:w="4400"/>
            <w:tcMar>
              <w:top w:type="dxa" w:w="60"/>
              <w:left w:type="dxa" w:w="90"/>
              <w:bottom w:type="dxa" w:w="60"/>
              <w:right w:type="dxa" w:w="90"/>
            </w:tcMar>
            <w:vAlign w:val="center"/>
          </w:tcPr>
          <w:p>
            <w:pPr>
              <w:spacing w:after="0" w:line="240"/>
              <w:jc w:val="left"/>
            </w:pPr>
            <w:r>
              <w:rPr>
                <w:rFonts w:ascii="Calibri" w:cs="Calibri" w:eastAsia="Calibri" w:hAnsi="Calibri"/>
                <w:color w:val="000000"/>
                <w:sz w:val="17"/>
                <w:szCs w:val="17"/>
              </w:rPr>
              <w:t>Cobertura máxima (PK 42,8)</w:t>
            </w:r>
          </w:p>
        </w:tc>
        <w:tc>
          <w:tcPr>
            <w:tcW w:type="dxa" w:w="2200"/>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2.031 m</w:t>
            </w:r>
          </w:p>
        </w:tc>
        <w:tc>
          <w:tcPr>
            <w:tcW w:type="dxa" w:w="1400"/>
            <w:tcMar>
              <w:top w:type="dxa" w:w="60"/>
              <w:left w:type="dxa" w:w="90"/>
              <w:bottom w:type="dxa" w:w="60"/>
              <w:right w:type="dxa" w:w="90"/>
            </w:tcMar>
            <w:vAlign w:val="center"/>
          </w:tcPr>
          <w:p>
            <w:pPr>
              <w:spacing w:after="0" w:line="240"/>
              <w:jc w:val="center"/>
            </w:pPr>
            <w:r>
              <w:rPr>
                <w:rFonts w:ascii="Calibri" w:cs="Calibri" w:eastAsia="Calibri" w:hAnsi="Calibri"/>
                <w:b/>
                <w:bCs/>
                <w:color w:val="000000"/>
                <w:sz w:val="17"/>
                <w:szCs w:val="17"/>
              </w:rPr>
              <w:t xml:space="preserve">CP</w:t>
            </w:r>
          </w:p>
        </w:tc>
        <w:tc>
          <w:tcPr>
            <w:tcW w:type="dxa" w:w="2080"/>
            <w:tcMar>
              <w:top w:type="dxa" w:w="60"/>
              <w:left w:type="dxa" w:w="90"/>
              <w:bottom w:type="dxa" w:w="60"/>
              <w:right w:type="dxa" w:w="90"/>
            </w:tcMar>
            <w:vAlign w:val="center"/>
          </w:tcPr>
          <w:p>
            <w:pPr>
              <w:spacing w:after="0" w:line="240"/>
              <w:jc w:val="left"/>
            </w:pPr>
            <w:r>
              <w:rPr>
                <w:rFonts w:ascii="Calibri" w:cs="Calibri" w:eastAsia="Calibri" w:hAnsi="Calibri"/>
                <w:color w:val="000000"/>
                <w:sz w:val="17"/>
                <w:szCs w:val="17"/>
              </w:rPr>
              <w:t xml:space="preserve">—</w:t>
            </w:r>
          </w:p>
        </w:tc>
      </w:tr>
      <w:tr>
        <w:tc>
          <w:tcPr>
            <w:tcW w:type="dxa" w:w="4400"/>
            <w:tcMar>
              <w:top w:type="dxa" w:w="60"/>
              <w:left w:type="dxa" w:w="90"/>
              <w:bottom w:type="dxa" w:w="60"/>
              <w:right w:type="dxa" w:w="90"/>
            </w:tcMar>
            <w:vAlign w:val="center"/>
          </w:tcPr>
          <w:p>
            <w:pPr>
              <w:spacing w:after="0" w:line="240"/>
              <w:jc w:val="left"/>
            </w:pPr>
            <w:r>
              <w:rPr>
                <w:rFonts w:ascii="Calibri" w:cs="Calibri" w:eastAsia="Calibri" w:hAnsi="Calibri"/>
                <w:color w:val="000000"/>
                <w:sz w:val="17"/>
                <w:szCs w:val="17"/>
              </w:rPr>
              <w:t xml:space="preserve">Cobertura media</w:t>
            </w:r>
          </w:p>
        </w:tc>
        <w:tc>
          <w:tcPr>
            <w:tcW w:type="dxa" w:w="2200"/>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840 m</w:t>
            </w:r>
          </w:p>
        </w:tc>
        <w:tc>
          <w:tcPr>
            <w:tcW w:type="dxa" w:w="1400"/>
            <w:tcMar>
              <w:top w:type="dxa" w:w="60"/>
              <w:left w:type="dxa" w:w="90"/>
              <w:bottom w:type="dxa" w:w="60"/>
              <w:right w:type="dxa" w:w="90"/>
            </w:tcMar>
            <w:vAlign w:val="center"/>
          </w:tcPr>
          <w:p>
            <w:pPr>
              <w:spacing w:after="0" w:line="240"/>
              <w:jc w:val="center"/>
            </w:pPr>
            <w:r>
              <w:rPr>
                <w:rFonts w:ascii="Calibri" w:cs="Calibri" w:eastAsia="Calibri" w:hAnsi="Calibri"/>
                <w:b/>
                <w:bCs/>
                <w:color w:val="000000"/>
                <w:sz w:val="17"/>
                <w:szCs w:val="17"/>
              </w:rPr>
              <w:t xml:space="preserve">CP</w:t>
            </w:r>
          </w:p>
        </w:tc>
        <w:tc>
          <w:tcPr>
            <w:tcW w:type="dxa" w:w="2080"/>
            <w:tcMar>
              <w:top w:type="dxa" w:w="60"/>
              <w:left w:type="dxa" w:w="90"/>
              <w:bottom w:type="dxa" w:w="60"/>
              <w:right w:type="dxa" w:w="90"/>
            </w:tcMar>
            <w:vAlign w:val="center"/>
          </w:tcPr>
          <w:p>
            <w:pPr>
              <w:spacing w:after="0" w:line="240"/>
              <w:jc w:val="left"/>
            </w:pPr>
            <w:r>
              <w:rPr>
                <w:rFonts w:ascii="Calibri" w:cs="Calibri" w:eastAsia="Calibri" w:hAnsi="Calibri"/>
                <w:color w:val="000000"/>
                <w:sz w:val="17"/>
                <w:szCs w:val="17"/>
              </w:rPr>
              <w:t xml:space="preserve">—</w:t>
            </w:r>
          </w:p>
        </w:tc>
      </w:tr>
      <w:tr>
        <w:tc>
          <w:tcPr>
            <w:tcW w:type="dxa" w:w="4400"/>
            <w:tcMar>
              <w:top w:type="dxa" w:w="60"/>
              <w:left w:type="dxa" w:w="90"/>
              <w:bottom w:type="dxa" w:w="60"/>
              <w:right w:type="dxa" w:w="90"/>
            </w:tcMar>
            <w:vAlign w:val="center"/>
          </w:tcPr>
          <w:p>
            <w:pPr>
              <w:spacing w:after="0" w:line="240"/>
              <w:jc w:val="left"/>
            </w:pPr>
            <w:r>
              <w:rPr>
                <w:rFonts w:ascii="Calibri" w:cs="Calibri" w:eastAsia="Calibri" w:hAnsi="Calibri"/>
                <w:color w:val="000000"/>
                <w:sz w:val="17"/>
                <w:szCs w:val="17"/>
              </w:rPr>
              <w:t xml:space="preserve">Cota máxima del terreno sobre el trazado</w:t>
            </w:r>
          </w:p>
        </w:tc>
        <w:tc>
          <w:tcPr>
            <w:tcW w:type="dxa" w:w="2200"/>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3.393 msnm</w:t>
            </w:r>
          </w:p>
        </w:tc>
        <w:tc>
          <w:tcPr>
            <w:tcW w:type="dxa" w:w="1400"/>
            <w:tcMar>
              <w:top w:type="dxa" w:w="60"/>
              <w:left w:type="dxa" w:w="90"/>
              <w:bottom w:type="dxa" w:w="60"/>
              <w:right w:type="dxa" w:w="90"/>
            </w:tcMar>
            <w:vAlign w:val="center"/>
          </w:tcPr>
          <w:p>
            <w:pPr>
              <w:spacing w:after="0" w:line="240"/>
              <w:jc w:val="center"/>
            </w:pPr>
            <w:r>
              <w:rPr>
                <w:rFonts w:ascii="Calibri" w:cs="Calibri" w:eastAsia="Calibri" w:hAnsi="Calibri"/>
                <w:b/>
                <w:bCs/>
                <w:color w:val="000000"/>
                <w:sz w:val="17"/>
                <w:szCs w:val="17"/>
              </w:rPr>
              <w:t xml:space="preserve">CP</w:t>
            </w:r>
          </w:p>
        </w:tc>
        <w:tc>
          <w:tcPr>
            <w:tcW w:type="dxa" w:w="2080"/>
            <w:tcMar>
              <w:top w:type="dxa" w:w="60"/>
              <w:left w:type="dxa" w:w="90"/>
              <w:bottom w:type="dxa" w:w="60"/>
              <w:right w:type="dxa" w:w="90"/>
            </w:tcMar>
            <w:vAlign w:val="center"/>
          </w:tcPr>
          <w:p>
            <w:pPr>
              <w:spacing w:after="0" w:line="240"/>
              <w:jc w:val="left"/>
            </w:pPr>
            <w:r>
              <w:rPr>
                <w:rFonts w:ascii="Calibri" w:cs="Calibri" w:eastAsia="Calibri" w:hAnsi="Calibri"/>
                <w:color w:val="000000"/>
                <w:sz w:val="17"/>
                <w:szCs w:val="17"/>
              </w:rPr>
              <w:t xml:space="preserve">Sobre el eje del túnel. NO comparable con los 3.300 msnm del paso carretero</w:t>
            </w:r>
          </w:p>
        </w:tc>
      </w:tr>
      <w:tr>
        <w:tc>
          <w:tcPr>
            <w:tcW w:type="dxa" w:w="4400"/>
            <w:tcMar>
              <w:top w:type="dxa" w:w="60"/>
              <w:left w:type="dxa" w:w="90"/>
              <w:bottom w:type="dxa" w:w="60"/>
              <w:right w:type="dxa" w:w="90"/>
            </w:tcMar>
            <w:vAlign w:val="center"/>
          </w:tcPr>
          <w:p>
            <w:pPr>
              <w:spacing w:after="0" w:line="240"/>
              <w:jc w:val="left"/>
            </w:pPr>
            <w:r>
              <w:rPr>
                <w:rFonts w:ascii="Calibri" w:cs="Calibri" w:eastAsia="Calibri" w:hAnsi="Calibri"/>
                <w:color w:val="000000"/>
                <w:sz w:val="17"/>
                <w:szCs w:val="17"/>
              </w:rPr>
              <w:t xml:space="preserve">Trazado con cobertura superior a 700 m</w:t>
            </w:r>
          </w:p>
        </w:tc>
        <w:tc>
          <w:tcPr>
            <w:tcW w:type="dxa" w:w="2200"/>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60,7 %</w:t>
            </w:r>
          </w:p>
        </w:tc>
        <w:tc>
          <w:tcPr>
            <w:tcW w:type="dxa" w:w="1400"/>
            <w:tcMar>
              <w:top w:type="dxa" w:w="60"/>
              <w:left w:type="dxa" w:w="90"/>
              <w:bottom w:type="dxa" w:w="60"/>
              <w:right w:type="dxa" w:w="90"/>
            </w:tcMar>
            <w:vAlign w:val="center"/>
          </w:tcPr>
          <w:p>
            <w:pPr>
              <w:spacing w:after="0" w:line="240"/>
              <w:jc w:val="center"/>
            </w:pPr>
            <w:r>
              <w:rPr>
                <w:rFonts w:ascii="Calibri" w:cs="Calibri" w:eastAsia="Calibri" w:hAnsi="Calibri"/>
                <w:b/>
                <w:bCs/>
                <w:color w:val="000000"/>
                <w:sz w:val="17"/>
                <w:szCs w:val="17"/>
              </w:rPr>
              <w:t xml:space="preserve">CP</w:t>
            </w:r>
          </w:p>
        </w:tc>
        <w:tc>
          <w:tcPr>
            <w:tcW w:type="dxa" w:w="2080"/>
            <w:tcMar>
              <w:top w:type="dxa" w:w="60"/>
              <w:left w:type="dxa" w:w="90"/>
              <w:bottom w:type="dxa" w:w="60"/>
              <w:right w:type="dxa" w:w="90"/>
            </w:tcMar>
            <w:vAlign w:val="center"/>
          </w:tcPr>
          <w:p>
            <w:pPr>
              <w:spacing w:after="0" w:line="240"/>
              <w:jc w:val="left"/>
            </w:pPr>
            <w:r>
              <w:rPr>
                <w:rFonts w:ascii="Calibri" w:cs="Calibri" w:eastAsia="Calibri" w:hAnsi="Calibri"/>
                <w:color w:val="000000"/>
                <w:sz w:val="17"/>
                <w:szCs w:val="17"/>
              </w:rPr>
              <w:t xml:space="preserve">Insumo del OE 4</w:t>
            </w:r>
          </w:p>
        </w:tc>
      </w:tr>
    </w:tbl>
    <w:p>
      <w:pPr>
        <w:pStyle w:val="Heading2"/>
        <w:spacing w:after="120" w:before="240"/>
      </w:pPr>
      <w:r>
        <w:rPr>
          <w:rFonts w:ascii="Calibri" w:cs="Calibri" w:eastAsia="Calibri" w:hAnsi="Calibri"/>
          <w:b/>
          <w:bCs/>
          <w:color w:val="2E74B5"/>
          <w:sz w:val="24"/>
          <w:szCs w:val="24"/>
        </w:rPr>
        <w:t xml:space="preserve">5.1 Una comprobación que sostiene el resultado, y una afirmación retirada</w:t>
      </w:r>
    </w:p>
    <w:p>
      <w:pPr>
        <w:spacing w:after="120" w:line="276"/>
        <w:jc w:val="both"/>
      </w:pPr>
      <w:r>
        <w:rPr>
          <w:rFonts w:ascii="Calibri" w:cs="Calibri" w:eastAsia="Calibri" w:hAnsi="Calibri"/>
          <w:b/>
          <w:bCs/>
          <w:color w:val="000000"/>
          <w:sz w:val="21"/>
          <w:szCs w:val="21"/>
        </w:rPr>
        <w:t xml:space="preserve">Afirmación retirada por falsa (revisión 3, 9 de septiembre de 2026). </w:t>
      </w:r>
      <w:r>
        <w:rPr>
          <w:rFonts w:ascii="Calibri" w:cs="Calibri" w:eastAsia="Calibri" w:hAnsi="Calibri"/>
          <w:color w:val="000000"/>
          <w:sz w:val="21"/>
          <w:szCs w:val="21"/>
        </w:rPr>
        <w:t>Este documento sostenía que los 3.393 msnm de cota máxima del terreno sobre el alineamiento corroboran los 3.300 msnm que declara la ponencia, y que dos fuentes independientes convergían. No es cierto y se retira. Los 3.393 m son la cota del terreno sobre el eje del túnel [CP]; los 3.300 m son la cota del paso carretero actual del Alto de La Línea [F, diapositiva 20], que no está sobre ese eje. Son dos puntos distintos del mapa, separados en planta: que sus cotas se parezcan no verifica nada, y no debe usarse como argumento de sustentación. La cota máxima del terreno sobre el trazado sigue siendo 3.393 msnm y sigue siendo un resultado válido del objetivo: lo que se retira es la comparación, no la cifra.</w:t>
      </w:r>
    </w:p>
    <w:p>
      <w:pPr>
        <w:spacing w:after="120" w:line="276"/>
        <w:jc w:val="both"/>
      </w:pPr>
      <w:r>
        <w:rPr>
          <w:rFonts w:ascii="Calibri" w:cs="Calibri" w:eastAsia="Calibri" w:hAnsi="Calibri"/>
          <w:b/>
          <w:bCs/>
          <w:color w:val="000000"/>
          <w:sz w:val="21"/>
          <w:szCs w:val="21"/>
        </w:rPr>
        <w:t xml:space="preserve">Los 52,21 km no contradicen los 58 km de la fuente. </w:t>
      </w:r>
      <w:r>
        <w:rPr>
          <w:rFonts w:ascii="Calibri" w:cs="Calibri" w:eastAsia="Calibri" w:hAnsi="Calibri"/>
          <w:color w:val="000000"/>
          <w:sz w:val="21"/>
          <w:szCs w:val="21"/>
        </w:rPr>
        <w:t xml:space="preserve">La ponencia declara 58 km de tramo total y 44 km de túnel principal, con una construcción en 7 túneles de 7 a 8 km. Los 58 km corresponden al corredor completo, incluidos los tramos a cielo abierto entre túneles; el túnel principal de 44 km es el tramo continuo más largo. La recta entre portales, de 52,21 km, queda coherentemente entre ambos valores.</w:t>
      </w:r>
    </w:p>
    <w:p>
      <w:pPr>
        <w:pStyle w:val="Heading2"/>
        <w:spacing w:after="120" w:before="240"/>
      </w:pPr>
      <w:r>
        <w:rPr>
          <w:rFonts w:ascii="Calibri" w:cs="Calibri" w:eastAsia="Calibri" w:hAnsi="Calibri"/>
          <w:b/>
          <w:bCs/>
          <w:color w:val="2E74B5"/>
          <w:sz w:val="24"/>
          <w:szCs w:val="24"/>
        </w:rPr>
        <w:t>5.2 La tolerancia de cota decide dónde caen los portales</w:t>
      </w:r>
    </w:p>
    <w:p>
      <w:pPr>
        <w:spacing w:after="120" w:line="276"/>
        <w:jc w:val="both"/>
      </w:pPr>
      <w:r>
        <w:rPr>
          <w:rFonts w:ascii="Calibri" w:cs="Calibri" w:eastAsia="Calibri" w:hAnsi="Calibri"/>
          <w:b w:val="0"/>
          <w:bCs/>
          <w:color w:val="000000"/>
          <w:sz w:val="21"/>
          <w:szCs w:val="21"/>
        </w:rPr>
        <w:t>La tolerancia con que se acepta que un píxel «está» a la cota objetivo no es un detalle de implementación: es el parámetro que determina el resultado. Todas las filas de la tabla siguiente usan el mismo método, el mismo DEM y el mismo criterio de selección. Solo cambia la tolerancia.</w:t>
      </w:r>
    </w:p>
    <w:p>
      <w:pPr>
        <w:spacing w:after="120" w:line="276"/>
        <w:jc w:val="both"/>
      </w:pPr>
      <w:r>
        <w:rPr>
          <w:rFonts w:ascii="Calibri" w:cs="Calibri" w:eastAsia="Calibri" w:hAnsi="Calibri"/>
          <w:b/>
          <w:bCs/>
          <w:color w:val="000000"/>
          <w:sz w:val="21"/>
          <w:szCs w:val="21"/>
        </w:rPr>
        <w:t>TOL 2 m → 57 y 47 candidatos · portales 951,0 y 1.451,5 msnm · L 52.211,8 m · pendiente 0,959 % · cobertura mínima 0,0 m · trazado con más de 700 m de cobertura 60,7 %  (ADOPTADA)</w:t>
      </w:r>
    </w:p>
    <w:p>
      <w:pPr>
        <w:spacing w:after="120" w:line="276"/>
        <w:jc w:val="both"/>
      </w:pPr>
      <w:r>
        <w:rPr>
          <w:rFonts w:ascii="Calibri" w:cs="Calibri" w:eastAsia="Calibri" w:hAnsi="Calibri"/>
          <w:b w:val="0"/>
          <w:bCs/>
          <w:color w:val="000000"/>
          <w:sz w:val="21"/>
          <w:szCs w:val="21"/>
        </w:rPr>
        <w:t>TOL 5 m → 130 y 137 candidatos · portales 951,0 y 1.446,0 msnm · L 52.135,9 m · pendiente 0,950 % · cobertura mínima 0,0 m · trazado con más de 700 m de cobertura 54,1 %</w:t>
      </w:r>
    </w:p>
    <w:p>
      <w:pPr>
        <w:spacing w:after="120" w:line="276"/>
        <w:jc w:val="both"/>
      </w:pPr>
      <w:r>
        <w:rPr>
          <w:rFonts w:ascii="Calibri" w:cs="Calibri" w:eastAsia="Calibri" w:hAnsi="Calibri"/>
          <w:b w:val="0"/>
          <w:bCs/>
          <w:color w:val="000000"/>
          <w:sz w:val="21"/>
          <w:szCs w:val="21"/>
        </w:rPr>
        <w:t>TOL 10 m → 262 y 249 candidatos · portales 959,1 y 1.455,6 msnm · L 52.065,7 m · pendiente 0,954 % · cobertura mínima 0,0 m · trazado con más de 700 m de cobertura 52,5 %</w:t>
      </w:r>
    </w:p>
    <w:p>
      <w:pPr>
        <w:spacing w:after="120" w:line="276"/>
        <w:jc w:val="both"/>
      </w:pPr>
      <w:r>
        <w:rPr>
          <w:rFonts w:ascii="Calibri" w:cs="Calibri" w:eastAsia="Calibri" w:hAnsi="Calibri"/>
          <w:b w:val="0"/>
          <w:bCs/>
          <w:color w:val="000000"/>
          <w:sz w:val="21"/>
          <w:szCs w:val="21"/>
        </w:rPr>
        <w:t>TOL 15 m → 396 y 380 candidatos · portales 960,9 y 1.436,4 msnm · L 51.522,8 m · pendiente 0,923 % · cobertura mínima −3,9 m · trazado con más de 700 m de cobertura 49,1 %</w:t>
      </w:r>
    </w:p>
    <w:p>
      <w:pPr>
        <w:spacing w:after="120" w:line="276"/>
        <w:jc w:val="both"/>
      </w:pPr>
      <w:r>
        <w:rPr>
          <w:rFonts w:ascii="Calibri" w:cs="Calibri" w:eastAsia="Calibri" w:hAnsi="Calibri"/>
          <w:b w:val="0"/>
          <w:bCs/>
          <w:color w:val="000000"/>
          <w:sz w:val="21"/>
          <w:szCs w:val="21"/>
        </w:rPr>
        <w:t>Mover la tolerancia de 2 a 15 m desplaza la longitud del túnel 690 m y el porcentaje de trazado con más de 700 m de cobertura 12 puntos porcentuales; ese porcentaje es justamente el insumo que el OE 1 entrega al OE 4. Se adopta 2 m porque deja los portales a 1,0 y 1,5 m de las cotas que declara la ponencia [F, p.20], frente a 10,9 y 13,6 m con la tolerancia de 15 m, y porque elimina la cobertura negativa que aparece en el arranque con tolerancias amplias. La tabla completa se publica en Act2_Portales/portales_sensibilidad.csv y en la hoja «6. Sensibilidad» del libro de cálculo. El resultado metodológico es que la posición del portal no queda determinada por los datos disponibles, sino por una hipótesis que hay que declarar.</w:t>
      </w:r>
    </w:p>
    <w:p>
      <w:pPr>
        <w:pStyle w:val="Heading2"/>
        <w:spacing w:after="120" w:before="240"/>
      </w:pPr>
      <w:r>
        <w:rPr>
          <w:rFonts w:ascii="Calibri" w:cs="Calibri" w:eastAsia="Calibri" w:hAnsi="Calibri"/>
          <w:b/>
          <w:bCs/>
          <w:color w:val="2E74B5"/>
          <w:sz w:val="24"/>
          <w:szCs w:val="24"/>
        </w:rPr>
        <w:t>5.3 La ventana de búsqueda también decide, y era una restricción activa</w:t>
      </w:r>
    </w:p>
    <w:p>
      <w:pPr>
        <w:spacing w:after="120" w:line="276"/>
        <w:jc w:val="both"/>
      </w:pPr>
      <w:r>
        <w:rPr>
          <w:rFonts w:ascii="Calibri" w:cs="Calibri" w:eastAsia="Calibri" w:hAnsi="Calibri"/>
          <w:b w:val="0"/>
          <w:bCs/>
          <w:color w:val="000000"/>
          <w:sz w:val="21"/>
          <w:szCs w:val="21"/>
        </w:rPr>
        <w:t>La localización de los portales no barre todo el corredor: se restringe a dos ventanas rectangulares fijadas a mano. Como el criterio minimiza la distancia entre portales, empuja el portal oriental lo más al oeste posible, y la ventana oriental lo frena. El portal adoptado cae a unos 440 m del borde occidental de su propia ventana: la ventana no está conteniendo la búsqueda, la está definiendo. En la versión con tolerancia de 15 m el portal caía exactamente sobre ese borde.</w:t>
      </w:r>
    </w:p>
    <w:p>
      <w:pPr>
        <w:spacing w:after="120" w:line="276"/>
        <w:jc w:val="both"/>
      </w:pPr>
      <w:r>
        <w:rPr>
          <w:rFonts w:ascii="Calibri" w:cs="Calibri" w:eastAsia="Calibri" w:hAnsi="Calibri"/>
          <w:b w:val="0"/>
          <w:bCs/>
          <w:color w:val="000000"/>
          <w:sz w:val="21"/>
          <w:szCs w:val="21"/>
        </w:rPr>
        <w:t>Ventana adoptada → portal oriental en Ibagué · L 52.211,8 m · pendiente 0,9587 % · pegado al borde: sí</w:t>
      </w:r>
    </w:p>
    <w:p>
      <w:pPr>
        <w:spacing w:after="120" w:line="276"/>
        <w:jc w:val="both"/>
      </w:pPr>
      <w:r>
        <w:rPr>
          <w:rFonts w:ascii="Calibri" w:cs="Calibri" w:eastAsia="Calibri" w:hAnsi="Calibri"/>
          <w:b w:val="0"/>
          <w:bCs/>
          <w:color w:val="000000"/>
          <w:sz w:val="21"/>
          <w:szCs w:val="21"/>
        </w:rPr>
        <w:t>Oriental ampliada a 75,32° W → portal oriental en Rovira · L 49.733,7 m · pendiente 1,0083 %</w:t>
      </w:r>
    </w:p>
    <w:p>
      <w:pPr>
        <w:spacing w:after="120" w:line="276"/>
        <w:jc w:val="both"/>
      </w:pPr>
      <w:r>
        <w:rPr>
          <w:rFonts w:ascii="Calibri" w:cs="Calibri" w:eastAsia="Calibri" w:hAnsi="Calibri"/>
          <w:b w:val="0"/>
          <w:bCs/>
          <w:color w:val="000000"/>
          <w:sz w:val="21"/>
          <w:szCs w:val="21"/>
        </w:rPr>
        <w:t>Occidental ampliada a 75,48° W → sin cambio · L 52.211,8 m · pendiente 0,9587 %</w:t>
      </w:r>
    </w:p>
    <w:p>
      <w:pPr>
        <w:spacing w:after="120" w:line="276"/>
        <w:jc w:val="both"/>
      </w:pPr>
      <w:r>
        <w:rPr>
          <w:rFonts w:ascii="Calibri" w:cs="Calibri" w:eastAsia="Calibri" w:hAnsi="Calibri"/>
          <w:b w:val="0"/>
          <w:bCs/>
          <w:color w:val="000000"/>
          <w:sz w:val="21"/>
          <w:szCs w:val="21"/>
        </w:rPr>
        <w:t>Ambas ampliadas → portal oriental en Rovira · L 49.659,1 m · pendiente 1,0036 %</w:t>
      </w:r>
    </w:p>
    <w:p>
      <w:pPr>
        <w:spacing w:after="120" w:line="276"/>
        <w:jc w:val="both"/>
      </w:pPr>
      <w:r>
        <w:rPr>
          <w:rFonts w:ascii="Calibri" w:cs="Calibri" w:eastAsia="Calibri" w:hAnsi="Calibri"/>
          <w:b w:val="0"/>
          <w:bCs/>
          <w:color w:val="000000"/>
          <w:sz w:val="21"/>
          <w:szCs w:val="21"/>
        </w:rPr>
        <w:t>Ampliar la ventana oriental acorta el túnel 2,5 km. Ampliar la occidental no cambia nada: la restricción es solo la del lado del Tolima. Se conservan las ventanas actuales, y se declaran aquí como hipótesis [H], porque codifican una decisión de ingeniería que antes estaba implícita: el portal oriental debe quedar en la aproximación oriental de Ibagué, que es el extremo que nombra la ponencia. Con la ventana ampliada el portal se traslada a Rovira, a 13,4 km de la cabecera de Ibagué, y el trazado pasaría a cruzar cinco municipios —Rovira, Ibagué, Cajamarca, Calarcá y Córdoba— en lugar de tres: deja de ser el corredor Ibagué – Armenia analizado. La tabla completa se publica en Act2_Portales/ventanas_sensibilidad.csv.</w:t>
      </w:r>
    </w:p>
    <w:p>
      <w:pPr>
        <w:spacing w:after="120" w:line="276"/>
        <w:jc w:val="both"/>
      </w:pPr>
      <w:r>
        <w:rPr>
          <w:rFonts w:ascii="Calibri" w:cs="Calibri" w:eastAsia="Calibri" w:hAnsi="Calibri"/>
          <w:b w:val="0"/>
          <w:bCs/>
          <w:color w:val="000000"/>
          <w:sz w:val="21"/>
          <w:szCs w:val="21"/>
        </w:rPr>
        <w:t>Sobre el nombre de los portales. La ponencia nombra los extremos del corredor «Ibagué» y «Armenia» [F, diapositiva 20], y así se conservan. Pero el portal occidental calculado cae en jurisdicción de Calarcá, Quindío (DANE 63130), no de Armenia; y el oriental en Ibagué, Tolima (DANE 73001), sin tocar Coello. Los productos distinguen ahora las dos cosas: el campo «extremo» conserva el nombre de la fuente y los campos «municipio», «depto» y «cod_dane» registran la jurisdicción real, verificada por contención contra la capa de municipios del IGAC.</w:t>
      </w:r>
    </w:p>
    <w:p>
      <w:pPr>
        <w:pStyle w:val="Heading2"/>
        <w:spacing w:after="120" w:before="240"/>
      </w:pPr>
      <w:r>
        <w:rPr>
          <w:rFonts w:ascii="Calibri" w:cs="Calibri" w:eastAsia="Calibri" w:hAnsi="Calibri"/>
          <w:b/>
          <w:bCs/>
          <w:color w:val="2E74B5"/>
          <w:sz w:val="24"/>
          <w:szCs w:val="24"/>
        </w:rPr>
        <w:t>5.4 Correcciones de la revisión 2 (7 de septiembre de 2026)</w:t>
      </w:r>
    </w:p>
    <w:p>
      <w:pPr>
        <w:spacing w:after="120" w:line="276"/>
        <w:jc w:val="both"/>
      </w:pPr>
      <w:r>
        <w:rPr>
          <w:rFonts w:ascii="Calibri" w:cs="Calibri" w:eastAsia="Calibri" w:hAnsi="Calibri"/>
          <w:b w:val="0"/>
          <w:bCs/>
          <w:color w:val="000000"/>
          <w:sz w:val="21"/>
          <w:szCs w:val="21"/>
        </w:rPr>
        <w:t>La revisión de las cinco actividades detectó cuatro defectos en la versión del 1 de septiembre. Se documentan aquí porque afectan la trazabilidad, no solo las cifras.</w:t>
      </w:r>
    </w:p>
    <w:p>
      <w:pPr>
        <w:spacing w:after="120" w:line="276"/>
        <w:jc w:val="both"/>
      </w:pPr>
      <w:r>
        <w:rPr>
          <w:rFonts w:ascii="Calibri" w:cs="Calibri" w:eastAsia="Calibri" w:hAnsi="Calibri"/>
          <w:b w:val="0"/>
          <w:bCs/>
          <w:color w:val="000000"/>
          <w:sz w:val="21"/>
          <w:szCs w:val="21"/>
        </w:rPr>
        <w:t>Primero, el archivo entregado como evidencia de la actividad 1 no era el que produjo los números. El script leía el mosaico completo y nunca escribía el recorte; ese recorte se hizo por fuera y quedó desplazado una columna (≈30 m en longitud), de modo que las cotas leídas en él no reproducían las publicadas. Ahora el recorte lo genera el propio script con una ventana alineada a la malla del mosaico, y el paso 6 del registro comprueba punto por punto que mosaico y recorte devuelven el mismo valor.</w:t>
      </w:r>
    </w:p>
    <w:p>
      <w:pPr>
        <w:spacing w:after="120" w:line="276"/>
        <w:jc w:val="both"/>
      </w:pPr>
      <w:r>
        <w:rPr>
          <w:rFonts w:ascii="Calibri" w:cs="Calibri" w:eastAsia="Calibri" w:hAnsi="Calibri"/>
          <w:b w:val="0"/>
          <w:bCs/>
          <w:color w:val="000000"/>
          <w:sz w:val="21"/>
          <w:szCs w:val="21"/>
        </w:rPr>
        <w:t>Segundo, la cartera y el trazado entregados eran anteriores a la ejecución del script y no salían de él: el script solo imprimía al registro. Ahora todos los productos del OE 1 —recorte, portales, trazado, cartera, perfil continuo y el archivo de cifras congeladas cifras_OE1.json— se escriben en una sola corrida, y las figuras leen esos archivos en lugar de recalcular.</w:t>
      </w:r>
    </w:p>
    <w:p>
      <w:pPr>
        <w:spacing w:after="120" w:line="276"/>
        <w:jc w:val="both"/>
      </w:pPr>
      <w:r>
        <w:rPr>
          <w:rFonts w:ascii="Calibri" w:cs="Calibri" w:eastAsia="Calibri" w:hAnsi="Calibri"/>
          <w:b w:val="0"/>
          <w:bCs/>
          <w:color w:val="000000"/>
          <w:sz w:val="21"/>
          <w:szCs w:val="21"/>
        </w:rPr>
        <w:t>Tercero, la búsqueda de portales evaluaba uno de cada siete candidatos por cada lado, sin que ese submuestreo estuviera declarado ni justificado. Descartaba el par realmente más corto. Ahora se evalúan todos los pares. Como efecto colateral quedó a la vista la sensibilidad a la tolerancia que documenta la sección 5.2.</w:t>
      </w:r>
    </w:p>
    <w:p>
      <w:pPr>
        <w:spacing w:after="120" w:line="276"/>
        <w:jc w:val="both"/>
      </w:pPr>
      <w:r>
        <w:rPr>
          <w:rFonts w:ascii="Calibri" w:cs="Calibri" w:eastAsia="Calibri" w:hAnsi="Calibri"/>
          <w:b w:val="0"/>
          <w:bCs/>
          <w:color w:val="000000"/>
          <w:sz w:val="21"/>
          <w:szCs w:val="21"/>
        </w:rPr>
        <w:t>Además, la cartera pasó de 121 abscisas con paso irregular de 34,8 a 522,5 m, que terminaba 174 m antes del portal, a 106 abscisas con paso exacto de 500 m más una abscisa de cierre en el portal; y la cobertura de −0,4 m en el PK 0, que provenía de redondear la rasante a 955,0 sobre un terreno de 954,6, es ahora 0,0 m por construcción. Los archivos de la versión anterior se conservan en la carpeta _v1_obsoleto.</w:t>
      </w:r>
    </w:p>
    <w:p>
      <w:pPr>
        <w:pStyle w:val="Heading1"/>
        <w:spacing w:after="160" w:before="320"/>
      </w:pPr>
      <w:r>
        <w:rPr>
          <w:rFonts w:ascii="Calibri" w:cs="Calibri" w:eastAsia="Calibri" w:hAnsi="Calibri"/>
          <w:b/>
          <w:bCs/>
          <w:color w:val="1F3864"/>
          <w:sz w:val="30"/>
          <w:szCs w:val="30"/>
        </w:rPr>
        <w:t xml:space="preserve">6. Limitaciones</w:t>
      </w:r>
    </w:p>
    <w:p>
      <w:pPr>
        <w:spacing w:after="120" w:line="276"/>
        <w:jc w:val="both"/>
      </w:pPr>
      <w:r>
        <w:rPr>
          <w:rFonts w:ascii="Calibri" w:cs="Calibri" w:eastAsia="Calibri" w:hAnsi="Calibri"/>
          <w:color w:val="000000"/>
          <w:sz w:val="21"/>
          <w:szCs w:val="21"/>
        </w:rPr>
        <w:t xml:space="preserve">Declararlas por adelantado es parte del resultado, no una debilidad de él:</w:t>
      </w:r>
    </w:p>
    <w:p>
      <w:pPr>
        <w:pStyle w:val="ListParagraph"/>
        <w:numPr>
          <w:ilvl w:val="0"/>
          <w:numId w:val="3"/>
        </w:numPr>
        <w:spacing w:after="90" w:line="276"/>
        <w:jc w:val="both"/>
      </w:pPr>
      <w:r>
        <w:rPr>
          <w:rFonts w:ascii="Calibri" w:cs="Calibri" w:eastAsia="Calibri" w:hAnsi="Calibri"/>
          <w:sz w:val="21"/>
          <w:szCs w:val="21"/>
        </w:rPr>
        <w:t xml:space="preserve">La ubicación de los portales responde a un criterio geométrico. No incorpora geología, riesgo de remoción en masa, accesos de obra ni situación predial. Queda sujeta a la verificación del OE 3.</w:t>
      </w:r>
    </w:p>
    <w:p>
      <w:pPr>
        <w:pStyle w:val="ListParagraph"/>
        <w:numPr>
          <w:ilvl w:val="0"/>
          <w:numId w:val="3"/>
        </w:numPr>
        <w:spacing w:after="90" w:line="276"/>
        <w:jc w:val="both"/>
      </w:pPr>
      <w:r>
        <w:rPr>
          <w:rFonts w:ascii="Calibri" w:cs="Calibri" w:eastAsia="Calibri" w:hAnsi="Calibri"/>
          <w:sz w:val="21"/>
          <w:szCs w:val="21"/>
        </w:rPr>
        <w:t xml:space="preserve">Un DEM de ~30 m permite un análisis de prefactibilidad. No es un levantamiento topográfico ni sustituye un diseño geométrico.</w:t>
      </w:r>
    </w:p>
    <w:p>
      <w:pPr>
        <w:pStyle w:val="ListParagraph"/>
        <w:numPr>
          <w:ilvl w:val="0"/>
          <w:numId w:val="3"/>
        </w:numPr>
        <w:spacing w:after="90" w:line="276"/>
        <w:jc w:val="both"/>
      </w:pPr>
      <w:r>
        <w:rPr>
          <w:rFonts w:ascii="Calibri" w:cs="Calibri" w:eastAsia="Calibri" w:hAnsi="Calibri"/>
          <w:sz w:val="21"/>
          <w:szCs w:val="21"/>
        </w:rPr>
        <w:t xml:space="preserve">El Copernicus GLO-30 es un modelo de superficie: incluye vegetación y edificaciones. En zonas de bosque denso la cota puede estar algunos metros por encima del terreno real. Para la cobertura del túnel el efecto es despreciable; para la cota exacta de un portal, no.</w:t>
      </w:r>
    </w:p>
    <w:p>
      <w:pPr>
        <w:pStyle w:val="ListParagraph"/>
        <w:numPr>
          <w:ilvl w:val="0"/>
          <w:numId w:val="3"/>
        </w:numPr>
        <w:spacing w:after="90" w:line="276"/>
        <w:jc w:val="both"/>
      </w:pPr>
      <w:r>
        <w:rPr>
          <w:rFonts w:ascii="Calibri" w:cs="Calibri" w:eastAsia="Calibri" w:hAnsi="Calibri"/>
          <w:sz w:val="21"/>
          <w:szCs w:val="21"/>
        </w:rPr>
        <w:t xml:space="preserve">La rasante recta no representa un diseño vertical definitivo.</w:t>
      </w:r>
    </w:p>
    <w:p>
      <w:pPr>
        <w:pStyle w:val="ListParagraph"/>
        <w:numPr>
          <w:ilvl w:val="0"/>
          <w:numId w:val="3"/>
        </w:numPr>
        <w:spacing w:after="90" w:line="276"/>
        <w:jc w:val="both"/>
      </w:pPr>
      <w:r>
        <w:rPr>
          <w:rFonts w:ascii="Calibri" w:cs="Calibri" w:eastAsia="Calibri" w:hAnsi="Calibri"/>
          <w:sz w:val="21"/>
          <w:szCs w:val="21"/>
        </w:rPr>
        <w:t xml:space="preserve">El criterio de pendiente máxima de 1,5 % es una hipótesis del semillero. La ponencia no declara pendiente.</w:t>
      </w:r>
    </w:p>
    <w:p>
      <w:pPr>
        <w:pStyle w:val="ListParagraph"/>
        <w:numPr>
          <w:ilvl w:val="0"/>
          <w:numId w:val="3"/>
        </w:numPr>
        <w:spacing w:after="90" w:line="276"/>
        <w:jc w:val="both"/>
      </w:pPr>
      <w:r>
        <w:rPr>
          <w:rFonts w:ascii="Calibri" w:cs="Calibri" w:eastAsia="Calibri" w:hAnsi="Calibri"/>
          <w:sz w:val="21"/>
          <w:szCs w:val="21"/>
        </w:rPr>
        <w:t xml:space="preserve">Los cinco rangos de clasificación de cobertura son una convención propia, no una norma técnica.</w:t>
      </w:r>
    </w:p>
    <w:p>
      <w:pPr>
        <w:pStyle w:val="Heading1"/>
        <w:spacing w:after="160" w:before="320"/>
      </w:pPr>
      <w:r>
        <w:rPr>
          <w:rFonts w:ascii="Calibri" w:cs="Calibri" w:eastAsia="Calibri" w:hAnsi="Calibri"/>
          <w:b/>
          <w:bCs/>
          <w:color w:val="1F3864"/>
          <w:sz w:val="30"/>
          <w:szCs w:val="30"/>
        </w:rPr>
        <w:t xml:space="preserve">7. Reproducibilidad</w:t>
      </w:r>
    </w:p>
    <w:p>
      <w:pPr>
        <w:spacing w:after="120" w:line="276"/>
        <w:jc w:val="both"/>
      </w:pPr>
      <w:r>
        <w:rPr>
          <w:rFonts w:ascii="Calibri" w:cs="Calibri" w:eastAsia="Calibri" w:hAnsi="Calibri"/>
          <w:color w:val="000000"/>
          <w:sz w:val="21"/>
          <w:szCs w:val="21"/>
        </w:rPr>
        <w:t xml:space="preserve">El script entregado descarga las teselas, arma el mosaico, ejecuta la validación, localiza los portales, extrae el perfil y escribe un registro con marca de tiempo de cada paso. Para ejecutarlo: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2F2F2" w:color="auto" w:val="clear"/>
            <w:tcMar>
              <w:top w:type="dxa" w:w="120"/>
              <w:left w:type="dxa" w:w="160"/>
              <w:bottom w:type="dxa" w:w="120"/>
              <w:right w:type="dxa" w:w="160"/>
            </w:tcMar>
          </w:tcPr>
          <w:p>
            <w:pPr>
              <w:spacing w:after="50" w:line="250"/>
            </w:pPr>
            <w:r>
              <w:rPr>
                <w:rFonts w:ascii="Consolas" w:cs="Consolas" w:eastAsia="Consolas" w:hAnsi="Consolas"/>
                <w:sz w:val="17"/>
                <w:szCs w:val="17"/>
              </w:rPr>
              <w:t xml:space="preserve">pip install rasterio pyproj numpy geopandas matplotlib openpyxl pandas</w:t>
            </w:r>
          </w:p>
          <w:p>
            <w:pPr>
              <w:spacing w:after="0" w:line="250"/>
            </w:pPr>
            <w:r>
              <w:rPr>
                <w:rFonts w:ascii="Consolas" w:cs="Consolas" w:eastAsia="Consolas" w:hAnsi="Consolas"/>
                <w:sz w:val="17"/>
                <w:szCs w:val="17"/>
              </w:rPr>
              <w:t xml:space="preserve">python procesamiento_OE1.py</w:t>
            </w:r>
          </w:p>
        </w:tc>
      </w:tr>
    </w:tbl>
    <w:p>
      <w:pPr>
        <w:spacing w:after="120" w:line="276"/>
        <w:jc w:val="both"/>
      </w:pPr>
      <w:r>
        <w:rPr>
          <w:rFonts w:ascii="Calibri" w:cs="Calibri" w:eastAsia="Calibri" w:hAnsi="Calibri"/>
          <w:color w:val="000000"/>
          <w:sz w:val="21"/>
          <w:szCs w:val="21"/>
        </w:rPr>
        <w:t xml:space="preserve">Salida esperada: el archivo registro_geoprocesos.log con los mismos valores de esta memoria. Si un tercero obtiene cifras distintas, el desacuerdo es rastreable hasta el paso exacto donde se separan.</w:t>
      </w:r>
    </w:p>
    <w:p>
      <w:pPr>
        <w:pStyle w:val="Heading1"/>
        <w:spacing w:after="160" w:before="320"/>
      </w:pPr>
      <w:r>
        <w:rPr>
          <w:rFonts w:ascii="Calibri" w:cs="Calibri" w:eastAsia="Calibri" w:hAnsi="Calibri"/>
          <w:b/>
          <w:bCs/>
          <w:color w:val="1F3864"/>
          <w:sz w:val="30"/>
          <w:szCs w:val="30"/>
        </w:rPr>
        <w:t xml:space="preserve">8. Inventario de archivos entregados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5080"/>
      </w:tblGrid>
      <w:tr>
        <w:tc>
          <w:tcPr>
            <w:tcW w:type="dxa" w:w="3600"/>
            <w:shd w:fill="D9E2F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000000"/>
                <w:sz w:val="17"/>
                <w:szCs w:val="17"/>
              </w:rPr>
              <w:t xml:space="preserve">Archivo</w:t>
            </w:r>
          </w:p>
        </w:tc>
        <w:tc>
          <w:tcPr>
            <w:tcW w:type="dxa" w:w="1400"/>
            <w:shd w:fill="D9E2F3" w:color="auto" w:val="clear"/>
            <w:tcMar>
              <w:top w:type="dxa" w:w="60"/>
              <w:left w:type="dxa" w:w="90"/>
              <w:bottom w:type="dxa" w:w="60"/>
              <w:right w:type="dxa" w:w="90"/>
            </w:tcMar>
            <w:vAlign w:val="center"/>
          </w:tcPr>
          <w:p>
            <w:pPr>
              <w:spacing w:after="0" w:line="240"/>
              <w:jc w:val="center"/>
            </w:pPr>
            <w:r>
              <w:rPr>
                <w:rFonts w:ascii="Calibri" w:cs="Calibri" w:eastAsia="Calibri" w:hAnsi="Calibri"/>
                <w:b/>
                <w:bCs/>
                <w:color w:val="000000"/>
                <w:sz w:val="17"/>
                <w:szCs w:val="17"/>
              </w:rPr>
              <w:t xml:space="preserve">Actividad</w:t>
            </w:r>
          </w:p>
        </w:tc>
        <w:tc>
          <w:tcPr>
            <w:tcW w:type="dxa" w:w="5080"/>
            <w:shd w:fill="D9E2F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000000"/>
                <w:sz w:val="17"/>
                <w:szCs w:val="17"/>
              </w:rPr>
              <w:t xml:space="preserve">Contenido</w:t>
            </w:r>
          </w:p>
        </w:tc>
      </w:tr>
      <w:tr>
        <w:tc>
          <w:tcPr>
            <w:tcW w:type="dxa" w:w="3600"/>
            <w:tcMar>
              <w:top w:type="dxa" w:w="60"/>
              <w:left w:type="dxa" w:w="90"/>
              <w:bottom w:type="dxa" w:w="60"/>
              <w:right w:type="dxa" w:w="90"/>
            </w:tcMar>
            <w:vAlign w:val="center"/>
          </w:tcPr>
          <w:p>
            <w:pPr>
              <w:spacing w:after="0" w:line="240"/>
              <w:jc w:val="left"/>
            </w:pPr>
            <w:r>
              <w:rPr>
                <w:rFonts w:ascii="Calibri" w:cs="Calibri" w:eastAsia="Calibri" w:hAnsi="Calibri"/>
                <w:color w:val="000000"/>
                <w:sz w:val="17"/>
                <w:szCs w:val="17"/>
              </w:rPr>
              <w:t xml:space="preserve">DEM_corredor_recorte.tif</w:t>
            </w:r>
          </w:p>
        </w:tc>
        <w:tc>
          <w:tcPr>
            <w:tcW w:type="dxa" w:w="1400"/>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 xml:space="preserve">Act 1</w:t>
            </w:r>
          </w:p>
        </w:tc>
        <w:tc>
          <w:tcPr>
            <w:tcW w:type="dxa" w:w="5080"/>
            <w:tcMar>
              <w:top w:type="dxa" w:w="60"/>
              <w:left w:type="dxa" w:w="90"/>
              <w:bottom w:type="dxa" w:w="60"/>
              <w:right w:type="dxa" w:w="90"/>
            </w:tcMar>
            <w:vAlign w:val="center"/>
          </w:tcPr>
          <w:p>
            <w:pPr>
              <w:spacing w:after="0" w:line="240"/>
              <w:jc w:val="left"/>
            </w:pPr>
            <w:r>
              <w:rPr>
                <w:rFonts w:ascii="Calibri" w:cs="Calibri" w:eastAsia="Calibri" w:hAnsi="Calibri"/>
                <w:color w:val="000000"/>
                <w:sz w:val="17"/>
                <w:szCs w:val="17"/>
              </w:rPr>
              <w:t xml:space="preserve">Ráster de trabajo recortado al corredor, 2.520 × 1.224 px</w:t>
            </w:r>
          </w:p>
        </w:tc>
      </w:tr>
      <w:tr>
        <w:tc>
          <w:tcPr>
            <w:tcW w:type="dxa" w:w="3600"/>
            <w:tcMar>
              <w:top w:type="dxa" w:w="60"/>
              <w:left w:type="dxa" w:w="90"/>
              <w:bottom w:type="dxa" w:w="60"/>
              <w:right w:type="dxa" w:w="90"/>
            </w:tcMar>
            <w:vAlign w:val="center"/>
          </w:tcPr>
          <w:p>
            <w:pPr>
              <w:spacing w:after="0" w:line="240"/>
              <w:jc w:val="left"/>
            </w:pPr>
            <w:r>
              <w:rPr>
                <w:rFonts w:ascii="Calibri" w:cs="Calibri" w:eastAsia="Calibri" w:hAnsi="Calibri"/>
                <w:color w:val="000000"/>
                <w:sz w:val="17"/>
                <w:szCs w:val="17"/>
              </w:rPr>
              <w:t xml:space="preserve">registro_geoprocesos.log</w:t>
            </w:r>
          </w:p>
        </w:tc>
        <w:tc>
          <w:tcPr>
            <w:tcW w:type="dxa" w:w="1400"/>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 xml:space="preserve">Act 1 y 3</w:t>
            </w:r>
          </w:p>
        </w:tc>
        <w:tc>
          <w:tcPr>
            <w:tcW w:type="dxa" w:w="5080"/>
            <w:tcMar>
              <w:top w:type="dxa" w:w="60"/>
              <w:left w:type="dxa" w:w="90"/>
              <w:bottom w:type="dxa" w:w="60"/>
              <w:right w:type="dxa" w:w="90"/>
            </w:tcMar>
            <w:vAlign w:val="center"/>
          </w:tcPr>
          <w:p>
            <w:pPr>
              <w:spacing w:after="0" w:line="240"/>
              <w:jc w:val="left"/>
            </w:pPr>
            <w:r>
              <w:rPr>
                <w:rFonts w:ascii="Calibri" w:cs="Calibri" w:eastAsia="Calibri" w:hAnsi="Calibri"/>
                <w:color w:val="000000"/>
                <w:sz w:val="17"/>
                <w:szCs w:val="17"/>
              </w:rPr>
              <w:t xml:space="preserve">Bitácora con marca de tiempo de cada paso del procesamiento</w:t>
            </w:r>
          </w:p>
        </w:tc>
      </w:tr>
      <w:tr>
        <w:tc>
          <w:tcPr>
            <w:tcW w:type="dxa" w:w="3600"/>
            <w:tcMar>
              <w:top w:type="dxa" w:w="60"/>
              <w:left w:type="dxa" w:w="90"/>
              <w:bottom w:type="dxa" w:w="60"/>
              <w:right w:type="dxa" w:w="90"/>
            </w:tcMar>
            <w:vAlign w:val="center"/>
          </w:tcPr>
          <w:p>
            <w:pPr>
              <w:spacing w:after="0" w:line="240"/>
              <w:jc w:val="left"/>
            </w:pPr>
            <w:r>
              <w:rPr>
                <w:rFonts w:ascii="Calibri" w:cs="Calibri" w:eastAsia="Calibri" w:hAnsi="Calibri"/>
                <w:color w:val="000000"/>
                <w:sz w:val="17"/>
                <w:szCs w:val="17"/>
              </w:rPr>
              <w:t xml:space="preserve">puntos_control_portales_SHP.zip</w:t>
            </w:r>
          </w:p>
        </w:tc>
        <w:tc>
          <w:tcPr>
            <w:tcW w:type="dxa" w:w="1400"/>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 xml:space="preserve">Act 2</w:t>
            </w:r>
          </w:p>
        </w:tc>
        <w:tc>
          <w:tcPr>
            <w:tcW w:type="dxa" w:w="5080"/>
            <w:tcMar>
              <w:top w:type="dxa" w:w="60"/>
              <w:left w:type="dxa" w:w="90"/>
              <w:bottom w:type="dxa" w:w="60"/>
              <w:right w:type="dxa" w:w="90"/>
            </w:tcMar>
            <w:vAlign w:val="center"/>
          </w:tcPr>
          <w:p>
            <w:pPr>
              <w:spacing w:after="0" w:line="240"/>
              <w:jc w:val="left"/>
            </w:pPr>
            <w:r>
              <w:rPr>
                <w:rFonts w:ascii="Calibri" w:cs="Calibri" w:eastAsia="Calibri" w:hAnsi="Calibri"/>
                <w:color w:val="000000"/>
                <w:sz w:val="17"/>
                <w:szCs w:val="17"/>
              </w:rPr>
              <w:t xml:space="preserve">Shapefile de los dos portales con su tabla de atributos y marcas</w:t>
            </w:r>
          </w:p>
        </w:tc>
      </w:tr>
      <w:tr>
        <w:tc>
          <w:tcPr>
            <w:tcW w:type="dxa" w:w="3600"/>
            <w:tcMar>
              <w:top w:type="dxa" w:w="60"/>
              <w:left w:type="dxa" w:w="90"/>
              <w:bottom w:type="dxa" w:w="60"/>
              <w:right w:type="dxa" w:w="90"/>
            </w:tcMar>
            <w:vAlign w:val="center"/>
          </w:tcPr>
          <w:p>
            <w:pPr>
              <w:spacing w:after="0" w:line="240"/>
              <w:jc w:val="left"/>
            </w:pPr>
            <w:r>
              <w:rPr>
                <w:rFonts w:ascii="Calibri" w:cs="Calibri" w:eastAsia="Calibri" w:hAnsi="Calibri"/>
                <w:color w:val="000000"/>
                <w:sz w:val="17"/>
                <w:szCs w:val="17"/>
              </w:rPr>
              <w:t xml:space="preserve">procesamiento_OE1.py</w:t>
            </w:r>
          </w:p>
        </w:tc>
        <w:tc>
          <w:tcPr>
            <w:tcW w:type="dxa" w:w="1400"/>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 xml:space="preserve">Act 3</w:t>
            </w:r>
          </w:p>
        </w:tc>
        <w:tc>
          <w:tcPr>
            <w:tcW w:type="dxa" w:w="5080"/>
            <w:tcMar>
              <w:top w:type="dxa" w:w="60"/>
              <w:left w:type="dxa" w:w="90"/>
              <w:bottom w:type="dxa" w:w="60"/>
              <w:right w:type="dxa" w:w="90"/>
            </w:tcMar>
            <w:vAlign w:val="center"/>
          </w:tcPr>
          <w:p>
            <w:pPr>
              <w:spacing w:after="0" w:line="240"/>
              <w:jc w:val="left"/>
            </w:pPr>
            <w:r>
              <w:rPr>
                <w:rFonts w:ascii="Calibri" w:cs="Calibri" w:eastAsia="Calibri" w:hAnsi="Calibri"/>
                <w:color w:val="000000"/>
                <w:sz w:val="17"/>
                <w:szCs w:val="17"/>
              </w:rPr>
              <w:t xml:space="preserve">Script reproducible completo, comentado y con las fuentes citadas</w:t>
            </w:r>
          </w:p>
        </w:tc>
      </w:tr>
      <w:tr>
        <w:tc>
          <w:tcPr>
            <w:tcW w:type="dxa" w:w="3600"/>
            <w:tcMar>
              <w:top w:type="dxa" w:w="60"/>
              <w:left w:type="dxa" w:w="90"/>
              <w:bottom w:type="dxa" w:w="60"/>
              <w:right w:type="dxa" w:w="90"/>
            </w:tcMar>
            <w:vAlign w:val="center"/>
          </w:tcPr>
          <w:p>
            <w:pPr>
              <w:spacing w:after="0" w:line="240"/>
              <w:jc w:val="left"/>
            </w:pPr>
            <w:r>
              <w:rPr>
                <w:rFonts w:ascii="Calibri" w:cs="Calibri" w:eastAsia="Calibri" w:hAnsi="Calibri"/>
                <w:color w:val="000000"/>
                <w:sz w:val="17"/>
                <w:szCs w:val="17"/>
              </w:rPr>
              <w:t xml:space="preserve">trazado_tunel.geojson / .shp</w:t>
            </w:r>
          </w:p>
        </w:tc>
        <w:tc>
          <w:tcPr>
            <w:tcW w:type="dxa" w:w="1400"/>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 xml:space="preserve">Act 4</w:t>
            </w:r>
          </w:p>
        </w:tc>
        <w:tc>
          <w:tcPr>
            <w:tcW w:type="dxa" w:w="5080"/>
            <w:tcMar>
              <w:top w:type="dxa" w:w="60"/>
              <w:left w:type="dxa" w:w="90"/>
              <w:bottom w:type="dxa" w:w="60"/>
              <w:right w:type="dxa" w:w="90"/>
            </w:tcMar>
            <w:vAlign w:val="center"/>
          </w:tcPr>
          <w:p>
            <w:pPr>
              <w:spacing w:after="0" w:line="240"/>
              <w:jc w:val="left"/>
            </w:pPr>
            <w:r>
              <w:rPr>
                <w:rFonts w:ascii="Calibri" w:cs="Calibri" w:eastAsia="Calibri" w:hAnsi="Calibri"/>
                <w:color w:val="000000"/>
                <w:sz w:val="17"/>
                <w:szCs w:val="17"/>
              </w:rPr>
              <w:t xml:space="preserve">Alineamiento georreferenciado con sus propiedades</w:t>
            </w:r>
          </w:p>
        </w:tc>
      </w:tr>
      <w:tr>
        <w:tc>
          <w:tcPr>
            <w:tcW w:type="dxa" w:w="3600"/>
            <w:tcMar>
              <w:top w:type="dxa" w:w="60"/>
              <w:left w:type="dxa" w:w="90"/>
              <w:bottom w:type="dxa" w:w="60"/>
              <w:right w:type="dxa" w:w="90"/>
            </w:tcMar>
            <w:vAlign w:val="center"/>
          </w:tcPr>
          <w:p>
            <w:pPr>
              <w:spacing w:after="0" w:line="240"/>
              <w:jc w:val="left"/>
            </w:pPr>
            <w:r>
              <w:rPr>
                <w:rFonts w:ascii="Calibri" w:cs="Calibri" w:eastAsia="Calibri" w:hAnsi="Calibri"/>
                <w:color w:val="000000"/>
                <w:sz w:val="17"/>
                <w:szCs w:val="17"/>
              </w:rPr>
              <w:t xml:space="preserve">cartera_rasantes.xlsx</w:t>
            </w:r>
          </w:p>
        </w:tc>
        <w:tc>
          <w:tcPr>
            <w:tcW w:type="dxa" w:w="1400"/>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 xml:space="preserve">Act 5</w:t>
            </w:r>
          </w:p>
        </w:tc>
        <w:tc>
          <w:tcPr>
            <w:tcW w:type="dxa" w:w="5080"/>
            <w:tcMar>
              <w:top w:type="dxa" w:w="60"/>
              <w:left w:type="dxa" w:w="90"/>
              <w:bottom w:type="dxa" w:w="60"/>
              <w:right w:type="dxa" w:w="90"/>
            </w:tcMar>
            <w:vAlign w:val="center"/>
          </w:tcPr>
          <w:p>
            <w:pPr>
              <w:spacing w:after="0" w:line="240"/>
              <w:jc w:val="left"/>
            </w:pPr>
            <w:r>
              <w:rPr>
                <w:rFonts w:ascii="Calibri" w:cs="Calibri" w:eastAsia="Calibri" w:hAnsi="Calibri"/>
                <w:color w:val="000000"/>
                <w:sz w:val="17"/>
                <w:szCs w:val="17"/>
              </w:rPr>
              <w:t>106 abscisas cada 500 m (más el cierre exacto en el portal), con cobertura calculada por fórmula</w:t>
            </w:r>
          </w:p>
        </w:tc>
      </w:tr>
      <w:tr>
        <w:tc>
          <w:tcPr>
            <w:tcW w:type="dxa" w:w="3600"/>
            <w:tcMar>
              <w:top w:type="dxa" w:w="60"/>
              <w:left w:type="dxa" w:w="90"/>
              <w:bottom w:type="dxa" w:w="60"/>
              <w:right w:type="dxa" w:w="90"/>
            </w:tcMar>
            <w:vAlign w:val="center"/>
          </w:tcPr>
          <w:p>
            <w:pPr>
              <w:spacing w:after="0" w:line="240"/>
              <w:jc w:val="left"/>
            </w:pPr>
            <w:r>
              <w:rPr>
                <w:rFonts w:ascii="Calibri" w:cs="Calibri" w:eastAsia="Calibri" w:hAnsi="Calibri"/>
                <w:color w:val="000000"/>
                <w:sz w:val="17"/>
                <w:szCs w:val="17"/>
              </w:rPr>
              <w:t xml:space="preserve">perfil_longitudinal.pdf / .png</w:t>
            </w:r>
          </w:p>
        </w:tc>
        <w:tc>
          <w:tcPr>
            <w:tcW w:type="dxa" w:w="1400"/>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 xml:space="preserve">Act 5</w:t>
            </w:r>
          </w:p>
        </w:tc>
        <w:tc>
          <w:tcPr>
            <w:tcW w:type="dxa" w:w="5080"/>
            <w:tcMar>
              <w:top w:type="dxa" w:w="60"/>
              <w:left w:type="dxa" w:w="90"/>
              <w:bottom w:type="dxa" w:w="60"/>
              <w:right w:type="dxa" w:w="90"/>
            </w:tcMar>
            <w:vAlign w:val="center"/>
          </w:tcPr>
          <w:p>
            <w:pPr>
              <w:spacing w:after="0" w:line="240"/>
              <w:jc w:val="left"/>
            </w:pPr>
            <w:r>
              <w:rPr>
                <w:rFonts w:ascii="Calibri" w:cs="Calibri" w:eastAsia="Calibri" w:hAnsi="Calibri"/>
                <w:color w:val="000000"/>
                <w:sz w:val="17"/>
                <w:szCs w:val="17"/>
              </w:rPr>
              <w:t xml:space="preserve">Perfil del terreno y rasante del túnel</w:t>
            </w:r>
          </w:p>
        </w:tc>
      </w:tr>
      <w:tr>
        <w:tc>
          <w:tcPr>
            <w:tcW w:type="dxa" w:w="3600"/>
            <w:tcMar>
              <w:top w:type="dxa" w:w="60"/>
              <w:left w:type="dxa" w:w="90"/>
              <w:bottom w:type="dxa" w:w="60"/>
              <w:right w:type="dxa" w:w="90"/>
            </w:tcMar>
            <w:vAlign w:val="center"/>
          </w:tcPr>
          <w:p>
            <w:pPr>
              <w:spacing w:after="0" w:line="240"/>
              <w:jc w:val="left"/>
            </w:pPr>
            <w:r>
              <w:rPr>
                <w:rFonts w:ascii="Calibri" w:cs="Calibri" w:eastAsia="Calibri" w:hAnsi="Calibri"/>
                <w:color w:val="000000"/>
                <w:sz w:val="17"/>
                <w:szCs w:val="17"/>
              </w:rPr>
              <w:t xml:space="preserve">mapa_trazado.pdf / .png</w:t>
            </w:r>
          </w:p>
        </w:tc>
        <w:tc>
          <w:tcPr>
            <w:tcW w:type="dxa" w:w="1400"/>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 xml:space="preserve">Apoyo</w:t>
            </w:r>
          </w:p>
        </w:tc>
        <w:tc>
          <w:tcPr>
            <w:tcW w:type="dxa" w:w="5080"/>
            <w:tcMar>
              <w:top w:type="dxa" w:w="60"/>
              <w:left w:type="dxa" w:w="90"/>
              <w:bottom w:type="dxa" w:w="60"/>
              <w:right w:type="dxa" w:w="90"/>
            </w:tcMar>
            <w:vAlign w:val="center"/>
          </w:tcPr>
          <w:p>
            <w:pPr>
              <w:spacing w:after="0" w:line="240"/>
              <w:jc w:val="left"/>
            </w:pPr>
            <w:r>
              <w:rPr>
                <w:rFonts w:ascii="Calibri" w:cs="Calibri" w:eastAsia="Calibri" w:hAnsi="Calibri"/>
                <w:color w:val="000000"/>
                <w:sz w:val="17"/>
                <w:szCs w:val="17"/>
              </w:rPr>
              <w:t xml:space="preserve">Mapa de relieve sombreado con el trazado y los portales</w:t>
            </w:r>
          </w:p>
        </w:tc>
      </w:tr>
      <w:tr>
        <w:tc>
          <w:tcPr>
            <w:tcW w:type="dxa" w:w="3600"/>
            <w:tcMar>
              <w:top w:type="dxa" w:w="60"/>
              <w:left w:type="dxa" w:w="90"/>
              <w:bottom w:type="dxa" w:w="60"/>
              <w:right w:type="dxa" w:w="90"/>
            </w:tcMar>
            <w:vAlign w:val="center"/>
          </w:tcPr>
          <w:p>
            <w:pPr>
              <w:spacing w:after="0" w:line="240"/>
              <w:jc w:val="left"/>
            </w:pPr>
            <w:r>
              <w:rPr>
                <w:rFonts w:ascii="Calibri" w:cs="Calibri" w:eastAsia="Calibri" w:hAnsi="Calibri"/>
                <w:color w:val="000000"/>
                <w:sz w:val="17"/>
                <w:szCs w:val="17"/>
              </w:rPr>
              <w:t xml:space="preserve">cobertura_tunel.pdf / .png</w:t>
            </w:r>
          </w:p>
        </w:tc>
        <w:tc>
          <w:tcPr>
            <w:tcW w:type="dxa" w:w="1400"/>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 xml:space="preserve">Apoyo</w:t>
            </w:r>
          </w:p>
        </w:tc>
        <w:tc>
          <w:tcPr>
            <w:tcW w:type="dxa" w:w="5080"/>
            <w:tcMar>
              <w:top w:type="dxa" w:w="60"/>
              <w:left w:type="dxa" w:w="90"/>
              <w:bottom w:type="dxa" w:w="60"/>
              <w:right w:type="dxa" w:w="90"/>
            </w:tcMar>
            <w:vAlign w:val="center"/>
          </w:tcPr>
          <w:p>
            <w:pPr>
              <w:spacing w:after="0" w:line="240"/>
              <w:jc w:val="left"/>
            </w:pPr>
            <w:r>
              <w:rPr>
                <w:rFonts w:ascii="Calibri" w:cs="Calibri" w:eastAsia="Calibri" w:hAnsi="Calibri"/>
                <w:color w:val="000000"/>
                <w:sz w:val="17"/>
                <w:szCs w:val="17"/>
              </w:rPr>
              <w:t xml:space="preserve">Cobertura a lo largo del trazado y distribución por rangos</w:t>
            </w:r>
          </w:p>
        </w:tc>
      </w:tr>
      <w:tr>
        <w:tc>
          <w:tcPr>
            <w:tcW w:type="dxa" w:w="3600"/>
            <w:tcMar>
              <w:top w:type="dxa" w:w="60"/>
              <w:left w:type="dxa" w:w="90"/>
              <w:bottom w:type="dxa" w:w="60"/>
              <w:right w:type="dxa" w:w="90"/>
            </w:tcMar>
            <w:vAlign w:val="center"/>
          </w:tcPr>
          <w:p>
            <w:pPr>
              <w:spacing w:after="0" w:line="240"/>
              <w:jc w:val="left"/>
            </w:pPr>
            <w:r>
              <w:rPr>
                <w:rFonts w:ascii="Calibri" w:cs="Calibri" w:eastAsia="Calibri" w:hAnsi="Calibri"/>
                <w:color w:val="000000"/>
                <w:sz w:val="17"/>
                <w:szCs w:val="17"/>
              </w:rPr>
              <w:t xml:space="preserve">memoria_calculo_OE1.xlsx</w:t>
            </w:r>
          </w:p>
        </w:tc>
        <w:tc>
          <w:tcPr>
            <w:tcW w:type="dxa" w:w="1400"/>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 xml:space="preserve">Apoyo</w:t>
            </w:r>
          </w:p>
        </w:tc>
        <w:tc>
          <w:tcPr>
            <w:tcW w:type="dxa" w:w="5080"/>
            <w:tcMar>
              <w:top w:type="dxa" w:w="60"/>
              <w:left w:type="dxa" w:w="90"/>
              <w:bottom w:type="dxa" w:w="60"/>
              <w:right w:type="dxa" w:w="90"/>
            </w:tcMar>
            <w:vAlign w:val="center"/>
          </w:tcPr>
          <w:p>
            <w:pPr>
              <w:spacing w:after="0" w:line="240"/>
              <w:jc w:val="left"/>
            </w:pPr>
            <w:r>
              <w:rPr>
                <w:rFonts w:ascii="Calibri" w:cs="Calibri" w:eastAsia="Calibri" w:hAnsi="Calibri"/>
                <w:color w:val="000000"/>
                <w:sz w:val="17"/>
                <w:szCs w:val="17"/>
              </w:rPr>
              <w:t>Parámetros, validación, datos de las figuras, resultados y sensibilidad de la tolerancia, con fórmulas</w:t>
            </w:r>
          </w:p>
        </w:tc>
      </w:tr>
      <w:tr>
        <w:tc>
          <w:tcPr>
            <w:tcW w:type="dxa" w:w="3600"/>
            <w:tcMar>
              <w:top w:type="dxa" w:w="60"/>
              <w:left w:type="dxa" w:w="90"/>
              <w:bottom w:type="dxa" w:w="60"/>
              <w:right w:type="dxa" w:w="90"/>
            </w:tcMar>
            <w:vAlign w:val="center"/>
          </w:tcPr>
          <w:p>
            <w:pPr>
              <w:spacing w:after="0" w:line="240"/>
              <w:jc w:val="left"/>
            </w:pPr>
            <w:r>
              <w:rPr>
                <w:rFonts w:ascii="Calibri" w:cs="Calibri" w:eastAsia="Calibri" w:hAnsi="Calibri"/>
                <w:color w:val="000000"/>
                <w:sz w:val="17"/>
                <w:szCs w:val="17"/>
              </w:rPr>
              <w:t xml:space="preserve">Este documento</w:t>
            </w:r>
          </w:p>
        </w:tc>
        <w:tc>
          <w:tcPr>
            <w:tcW w:type="dxa" w:w="1400"/>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 xml:space="preserve">Apoyo</w:t>
            </w:r>
          </w:p>
        </w:tc>
        <w:tc>
          <w:tcPr>
            <w:tcW w:type="dxa" w:w="5080"/>
            <w:tcMar>
              <w:top w:type="dxa" w:w="60"/>
              <w:left w:type="dxa" w:w="90"/>
              <w:bottom w:type="dxa" w:w="60"/>
              <w:right w:type="dxa" w:w="90"/>
            </w:tcMar>
            <w:vAlign w:val="center"/>
          </w:tcPr>
          <w:p>
            <w:pPr>
              <w:spacing w:after="0" w:line="240"/>
              <w:jc w:val="left"/>
            </w:pPr>
            <w:r>
              <w:rPr>
                <w:rFonts w:ascii="Calibri" w:cs="Calibri" w:eastAsia="Calibri" w:hAnsi="Calibri"/>
                <w:color w:val="000000"/>
                <w:sz w:val="17"/>
                <w:szCs w:val="17"/>
              </w:rPr>
              <w:t xml:space="preserve">Memoria de cálculo: método, fuentes y limitaciones</w:t>
            </w:r>
          </w:p>
        </w:tc>
      </w:tr>
    </w:tbl>
    <w:p>
      <w:pPr>
        <w:pStyle w:val="Heading1"/>
        <w:spacing w:after="160" w:before="320"/>
      </w:pPr>
      <w:r>
        <w:rPr>
          <w:rFonts w:ascii="Calibri" w:cs="Calibri" w:eastAsia="Calibri" w:hAnsi="Calibri"/>
          <w:b/>
          <w:bCs/>
          <w:color w:val="1F3864"/>
          <w:sz w:val="30"/>
          <w:szCs w:val="30"/>
        </w:rPr>
        <w:t xml:space="preserve">9. Referencias</w:t>
      </w:r>
    </w:p>
    <w:p>
      <w:pPr>
        <w:spacing w:after="120" w:line="276"/>
        <w:jc w:val="both"/>
      </w:pPr>
      <w:r>
        <w:rPr>
          <w:rFonts w:ascii="Calibri" w:cs="Calibri" w:eastAsia="Calibri" w:hAnsi="Calibri"/>
          <w:color w:val="000000"/>
          <w:sz w:val="21"/>
          <w:szCs w:val="21"/>
        </w:rPr>
        <w:t xml:space="preserve">Fernández Ordóñez, H. O. (2025). Túnel para cruce férreo de la Cordillera Central de los Andes y semilla para la Estrella Andina [Ponencia]. XX Seminario Andino de Túneles y Obras Subterráneas — II ExpoTúneles, Sociedad Antioqueña de Ingenieros y Arquitectos. Medellín, Colombia, 8 de octubre de 2025. Iniciativa de ARCS y UC Consult.</w:t>
      </w:r>
    </w:p>
    <w:p>
      <w:pPr>
        <w:spacing w:after="120" w:line="276"/>
        <w:jc w:val="both"/>
      </w:pPr>
      <w:r>
        <w:rPr>
          <w:rFonts w:ascii="Calibri" w:cs="Calibri" w:eastAsia="Calibri" w:hAnsi="Calibri"/>
          <w:color w:val="000000"/>
          <w:sz w:val="21"/>
          <w:szCs w:val="21"/>
        </w:rPr>
        <w:t>European Space Agency &amp; Airbus Defence and Space (2022). Copernicus DEM — Global and European Digital Elevation Model, GLO-30. Distribuido por el registro de datos abiertos de AWS. Consultado el 1 de septiembre de 2026 · revisión 2: 7 de septiembre de 2026.</w:t>
      </w:r>
    </w:p>
    <w:p>
      <w:pPr>
        <w:spacing w:after="120" w:line="276"/>
        <w:jc w:val="both"/>
      </w:pPr>
      <w:r>
        <w:rPr>
          <w:rFonts w:ascii="Calibri" w:cs="Calibri" w:eastAsia="Calibri" w:hAnsi="Calibri"/>
          <w:color w:val="000000"/>
          <w:sz w:val="21"/>
          <w:szCs w:val="21"/>
        </w:rPr>
        <w:t xml:space="preserve">Gillies, S. et al. Rasterio: acceso y procesamiento de datos ráster geoespaciales. Biblioteca de código abierto empleada para la lectura del DEM.</w:t>
      </w:r>
    </w:p>
    <w:p>
      <w:pPr>
        <w:spacing w:after="120" w:line="276"/>
        <w:jc w:val="both"/>
      </w:pPr>
      <w:r>
        <w:rPr>
          <w:rFonts w:ascii="Calibri" w:cs="Calibri" w:eastAsia="Calibri" w:hAnsi="Calibri"/>
          <w:color w:val="000000"/>
          <w:sz w:val="21"/>
          <w:szCs w:val="21"/>
        </w:rPr>
        <w:t xml:space="preserve">PROJ contributors. PROJ / pyproj: cálculos geodésicos sobre el elipsoide WGS 84, empleados para las distancias y la interpolación del alineamiento.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abstractNum w:abstractNumId="3" w15:restartNumberingAfterBreak="0">
    <w:multiLevelType w:val="hybridMultilevel"/>
    <w:lvl w:ilvl="0" w15:tentative="1">
      <w:start w:val="1"/>
      <w:numFmt w:val="decimal"/>
      <w:lvlText w:val="%1."/>
      <w:lvlJc w:val="left"/>
      <w:pPr>
        <w:ind w:left="460"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2026-09-01T20:38:37.924Z</dcterms:created>
  <dcterms:modified xsi:type="dcterms:W3CDTF">2026-09-01T20:38:37.941Z</dcterms:modified>
</cp:coreProperties>
</file>

<file path=docProps/custom.xml><?xml version="1.0" encoding="utf-8"?>
<Properties xmlns="http://schemas.openxmlformats.org/officeDocument/2006/custom-properties" xmlns:vt="http://schemas.openxmlformats.org/officeDocument/2006/docPropsVTypes"/>
</file>