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Informe de Pruebas — Ferramas</w:t>
      </w:r>
    </w:p>
    <w:p>
      <w:pPr>
        <w:jc w:val="center"/>
      </w:pPr>
      <w:r>
        <w:rPr>
          <w:color w:val="555555"/>
          <w:sz w:val="22"/>
        </w:rPr>
        <w:t>E-commerce de ferretería | Fecha: 19/07/2026 | Versión: 1.1</w:t>
      </w:r>
    </w:p>
    <w:p>
      <w:pPr>
        <w:jc w:val="center"/>
      </w:pPr>
      <w:r>
        <w:rPr>
          <w:color w:val="555555"/>
          <w:sz w:val="22"/>
        </w:rPr>
        <w:t>Autores: Equipo Ferramas</w:t>
      </w:r>
    </w:p>
    <w:p/>
    <w:p>
      <w:pPr>
        <w:pStyle w:val="Heading1"/>
      </w:pPr>
      <w:r>
        <w:t>1. Resumen ejecutivo</w:t>
      </w:r>
    </w:p>
    <w:p>
      <w:r>
        <w:t>Ferramas cuenta con una suite automatizada de 30 pruebas (unitarias, integración, mock, aceptación, carga y estrés). En la corrida del 19/07/2026 se obtuvo 30/30 passed. La cobertura de código de app/ es 54%, un punto por debajo del objetivo documental (≥ 55%). No hay CI ni pruebas E2E de navegador.</w:t>
      </w:r>
    </w:p>
    <w:p>
      <w:pPr>
        <w:pStyle w:val="Heading1"/>
      </w:pPr>
      <w:r>
        <w:t>2. Contexto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E-commerce de ferretería (catálogo, carrito, pagos, roles)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3.9+ / Flask 3, SQLAlchemy, Flask-Login, Jinja2, Bootstrap 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SQLite local; MySQL vía DATABASE_URL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Integraciones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Mercado Pago, mindicador.cl, SMTP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Render (render.yaml)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Entrada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run.py</w:t>
            </w:r>
          </w:p>
        </w:tc>
      </w:tr>
    </w:tbl>
    <w:p/>
    <w:p>
      <w:pPr>
        <w:pStyle w:val="Heading1"/>
      </w:pPr>
      <w:r>
        <w:t>3. Ambiente y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Fecha de ejecución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19/07/2026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3.12.5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Framework de pruebas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pytest 9.0.3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pytest-cov, pytest-html, pytest-mock, responses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BD de prueba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SQLite temporal (fixture tmp_path)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MP_ACCESS_TOKEN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TEST-123456789-abcdef (modo simulado)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Comando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-m pytest -v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Cobertura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-m pytest --cov=app --cov-report=term</w:t>
            </w:r>
          </w:p>
        </w:tc>
      </w:tr>
    </w:tbl>
    <w:p/>
    <w:p>
      <w:pPr>
        <w:pStyle w:val="Heading1"/>
      </w:pPr>
      <w:r>
        <w:t>4. Resultados globales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Tests totales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Failed / Errors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Tiempo aproximado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~2 min 8 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Cobertura app/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54% (1005 stmts, 462 sin cubrir)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Warnings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388 (SQLAlchemy Query.get() legacy)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configurado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E2E navegador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existe</w:t>
            </w:r>
          </w:p>
        </w:tc>
      </w:tr>
    </w:tbl>
    <w:p/>
    <w:p>
      <w:pPr>
        <w:pStyle w:val="Heading1"/>
      </w:pPr>
      <w:r>
        <w:t>5. Resultados por tipo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5C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fill="1A3A5C" w:val="clear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351"/>
            <w:shd w:fill="1A3A5C" w:val="clear"/>
          </w:tcPr>
          <w:p>
            <w:r>
              <w:rPr>
                <w:b/>
                <w:color w:val="FFFFFF"/>
                <w:sz w:val="20"/>
              </w:rPr>
              <w:t>Casos</w:t>
            </w:r>
          </w:p>
        </w:tc>
        <w:tc>
          <w:tcPr>
            <w:tcW w:type="dxa" w:w="2351"/>
            <w:shd w:fill="1A3A5C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Unitarios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tests/unit/test_models_and_auth.py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tests/unit/test_services_mock.py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tests/integration/test_api_and_flows.py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Aceptación CA01–CA07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tests/acceptance/test_criterios_aceptacion.py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Carga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tests/load/test_carga_api.py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Estrés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tests/stress/test_estres_api.py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PASSED</w:t>
            </w:r>
          </w:p>
        </w:tc>
      </w:tr>
    </w:tbl>
    <w:p/>
    <w:p>
      <w:pPr>
        <w:pStyle w:val="Heading1"/>
      </w:pPr>
      <w:r>
        <w:t>6. Criterios de aceptación (CA01–CA07)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Cliente ve catálogo con precio y stock (API)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Filtro por categoría en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Agregar producto al carrito autenticado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rechaza credenciales inválidas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categorías coincide con BD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Imagen de producto accesible en /static/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Webhook Mercado Pago acepta payload de 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</w:tbl>
    <w:p/>
    <w:p>
      <w:pPr>
        <w:pStyle w:val="Heading1"/>
      </w:pPr>
      <w:r>
        <w:t>7. Cobertura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Cobertura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models/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87–100%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Bien cubierto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divisa_service.py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Mock de API externa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auth_service.py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Falta cambiar_password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pago_service.py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Solo modo simulado y preferencia básica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email_service.py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 tests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views/tienda.py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27%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Checkout/pago casi sin cubrir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views/carrito.py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Solo agregar + checkout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views/auth.py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Solo 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views/vendedor.py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 tests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views/bodeguero.py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 tests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views/admin.py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36%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 tests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app/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54%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Objetivo documental ≥ 55%</w:t>
            </w:r>
          </w:p>
        </w:tc>
      </w:tr>
    </w:tbl>
    <w:p/>
    <w:p>
      <w:pPr>
        <w:pStyle w:val="Heading1"/>
      </w:pPr>
      <w:r>
        <w:t>8. Alcance cubierto y no cubierto</w:t>
      </w:r>
    </w:p>
    <w:p>
      <w:pPr>
        <w:pStyle w:val="Heading2"/>
      </w:pPr>
      <w:r>
        <w:t>8.1 Cubierto</w:t>
      </w:r>
    </w:p>
    <w:p>
      <w:pPr>
        <w:pStyle w:val="ListBullet"/>
      </w:pPr>
      <w:r>
        <w:t>API REST: /api/productos, /api/categorias, /api/divisas</w:t>
      </w:r>
    </w:p>
    <w:p>
      <w:pPr>
        <w:pStyle w:val="ListBullet"/>
      </w:pPr>
      <w:r>
        <w:t>Login (éxito y fallo)</w:t>
      </w:r>
    </w:p>
    <w:p>
      <w:pPr>
        <w:pStyle w:val="ListBullet"/>
      </w:pPr>
      <w:r>
        <w:t>Carrito: agregar producto y checkout → pedido pendiente</w:t>
      </w:r>
    </w:p>
    <w:p>
      <w:pPr>
        <w:pStyle w:val="ListBullet"/>
      </w:pPr>
      <w:r>
        <w:t>Conversión USD con mock de mindicador.cl</w:t>
      </w:r>
    </w:p>
    <w:p>
      <w:pPr>
        <w:pStyle w:val="ListBullet"/>
      </w:pPr>
      <w:r>
        <w:t>PagoService en modo simulado</w:t>
      </w:r>
    </w:p>
    <w:p>
      <w:pPr>
        <w:pStyle w:val="ListBullet"/>
      </w:pPr>
      <w:r>
        <w:t>Rendimiento básico (50–200 peticiones secuenciales)</w:t>
      </w:r>
    </w:p>
    <w:p>
      <w:pPr>
        <w:pStyle w:val="Heading2"/>
      </w:pPr>
      <w:r>
        <w:t>8.2 No cubierto (automatizado)</w:t>
      </w:r>
    </w:p>
    <w:p>
      <w:pPr>
        <w:pStyle w:val="ListBullet"/>
      </w:pPr>
      <w:r>
        <w:t>Paneles vendedor / bodeguero / admin</w:t>
      </w:r>
    </w:p>
    <w:p>
      <w:pPr>
        <w:pStyle w:val="ListBullet"/>
      </w:pPr>
      <w:r>
        <w:t>Flujo completo de pedido: aprobar → preparar → entregar</w:t>
      </w:r>
    </w:p>
    <w:p>
      <w:pPr>
        <w:pStyle w:val="ListBullet"/>
      </w:pPr>
      <w:r>
        <w:t>Registro HTTP, perfil, logout</w:t>
      </w:r>
    </w:p>
    <w:p>
      <w:pPr>
        <w:pStyle w:val="ListBullet"/>
      </w:pPr>
      <w:r>
        <w:t>Carrito: eliminar, actualizar, sincronizar</w:t>
      </w:r>
    </w:p>
    <w:p>
      <w:pPr>
        <w:pStyle w:val="ListBullet"/>
      </w:pPr>
      <w:r>
        <w:t>Pago éxito/error y transferencia</w:t>
      </w:r>
    </w:p>
    <w:p>
      <w:pPr>
        <w:pStyle w:val="ListBullet"/>
      </w:pPr>
      <w:r>
        <w:t>EmailService (SMTP)</w:t>
      </w:r>
    </w:p>
    <w:p>
      <w:pPr>
        <w:pStyle w:val="ListBullet"/>
      </w:pPr>
      <w:r>
        <w:t>Suscripción newsletter</w:t>
      </w:r>
    </w:p>
    <w:p>
      <w:pPr>
        <w:pStyle w:val="ListBullet"/>
      </w:pPr>
      <w:r>
        <w:t>Concurrencia real (load/stress son secuenciales)</w:t>
      </w:r>
    </w:p>
    <w:p>
      <w:pPr>
        <w:pStyle w:val="Heading1"/>
      </w:pPr>
      <w:r>
        <w:t>9. Riesgos y observaciones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Mitigación / estado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mindicador.cl caída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Mock + fallback 950/1050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Token Mercado Pago inválido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Modo simulado TEST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Cobertura 54% &lt; 55%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Ampliar tests en tienda/email/roles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Sin CI en deploy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Ejecución manual pre-deploy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388 warnings Query.get()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Deprecación SQLAlchemy; no bloquea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Corridas pytest en paralelo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Race conditions en SQLite; ejecutar en serie</w:t>
            </w:r>
          </w:p>
        </w:tc>
      </w:tr>
    </w:tbl>
    <w:p/>
    <w:p>
      <w:pPr>
        <w:pStyle w:val="Heading1"/>
      </w:pPr>
      <w:r>
        <w:t>10. Registro de defectos</w:t>
      </w:r>
    </w:p>
    <w:p>
      <w:r>
        <w:t>Tras la corrida del 19/07/2026 no hay defectos funcionales abiertos en la suite automatizada (30/30 passed). Los errores observados en una corrida paralela de cobertura fueron de aislamiento de fixtures/SQLite, no del producto.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568"/>
            <w:shd w:fill="1A3A5C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Sin defectos abiertos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Cerrado</w:t>
            </w:r>
          </w:p>
        </w:tc>
      </w:tr>
    </w:tbl>
    <w:p/>
    <w:p>
      <w:pPr>
        <w:pStyle w:val="Heading1"/>
      </w:pPr>
      <w:r>
        <w:t>11. Conclusión</w:t>
      </w:r>
    </w:p>
    <w:p>
      <w:r>
        <w:t>La suite académica está sana y cumple los criterios de aceptación CA01–CA07. Para cerrar el criterio de cobertura (≥ 55%) y el flujo de negocio end-to-end, se recomienda ampliar pruebas de roles (vendedor/bodeguero/admin), registro y pago simulado, además de incorporar CI.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