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5B3FD0">
        <w:rPr>
          <w:rFonts w:ascii="Courier New" w:hAnsi="Courier New" w:cs="Courier New"/>
          <w:sz w:val="24"/>
          <w:szCs w:val="24"/>
        </w:rPr>
        <w:t>DataGeneration</w:t>
      </w:r>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r w:rsidR="00EA7589" w:rsidRPr="00EA7589">
        <w:rPr>
          <w:rFonts w:ascii="Courier New" w:hAnsi="Courier New" w:cs="Courier New"/>
          <w:sz w:val="24"/>
          <w:szCs w:val="24"/>
        </w:rPr>
        <w:t>randi</w:t>
      </w:r>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r w:rsidRPr="00724AEA">
        <w:rPr>
          <w:rFonts w:ascii="Courier New" w:hAnsi="Courier New" w:cs="Courier New"/>
          <w:sz w:val="24"/>
          <w:szCs w:val="24"/>
        </w:rPr>
        <w:t>mod_size</w:t>
      </w:r>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3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(i.e.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NoiseGeneration</w:t>
      </w:r>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5541A60B"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1965D784"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51AECDB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02CDD840"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r w:rsidR="00976228" w:rsidRPr="0053450A">
        <w:rPr>
          <w:rFonts w:ascii="Courier New" w:eastAsiaTheme="minorEastAsia" w:hAnsi="Courier New" w:cs="Courier New"/>
          <w:sz w:val="24"/>
          <w:szCs w:val="24"/>
        </w:rPr>
        <w:t>mod_size</w:t>
      </w:r>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r w:rsidR="005F3B4E" w:rsidRPr="005F3B4E">
        <w:rPr>
          <w:rFonts w:ascii="Courier New" w:eastAsiaTheme="minorEastAsia" w:hAnsi="Courier New" w:cs="Courier New"/>
          <w:sz w:val="24"/>
          <w:szCs w:val="24"/>
        </w:rPr>
        <w:t>est_sym</w:t>
      </w:r>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46D974BD" w:rsidR="003C3144" w:rsidRDefault="003C3144" w:rsidP="00AF5248">
      <w:pPr>
        <w:rPr>
          <w:rFonts w:ascii="Times New Roman" w:hAnsi="Times New Roman" w:cs="Times New Roman"/>
          <w:sz w:val="24"/>
          <w:szCs w:val="24"/>
        </w:rPr>
      </w:pPr>
    </w:p>
    <w:p w14:paraId="1F605C0A" w14:textId="77777777" w:rsidR="007A04C4" w:rsidRPr="00D87529" w:rsidRDefault="007A04C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r w:rsidRPr="00AB0273">
        <w:rPr>
          <w:rFonts w:ascii="Courier New" w:hAnsi="Courier New" w:cs="Courier New"/>
          <w:sz w:val="24"/>
          <w:szCs w:val="24"/>
        </w:rPr>
        <w:t>Demod</w:t>
      </w:r>
      <w:r>
        <w:rPr>
          <w:rFonts w:ascii="Times New Roman" w:hAnsi="Times New Roman" w:cs="Times New Roman"/>
          <w:sz w:val="24"/>
          <w:szCs w:val="24"/>
        </w:rPr>
        <w:t xml:space="preserve"> function takes the vector of estimated symbols, </w:t>
      </w:r>
      <w:r w:rsidRPr="00AB0273">
        <w:rPr>
          <w:rFonts w:ascii="Courier New" w:hAnsi="Courier New" w:cs="Courier New"/>
          <w:sz w:val="24"/>
          <w:szCs w:val="24"/>
        </w:rPr>
        <w:t>est_sym</w:t>
      </w:r>
      <w:r>
        <w:rPr>
          <w:rFonts w:ascii="Times New Roman" w:hAnsi="Times New Roman" w:cs="Times New Roman"/>
          <w:sz w:val="24"/>
          <w:szCs w:val="24"/>
        </w:rPr>
        <w:t xml:space="preserve">, as an input. Examining the imaginary part of the first symbol, the </w:t>
      </w:r>
      <w:r w:rsidRPr="00AB0273">
        <w:rPr>
          <w:rFonts w:ascii="Courier New" w:hAnsi="Courier New" w:cs="Courier New"/>
          <w:sz w:val="24"/>
          <w:szCs w:val="24"/>
        </w:rPr>
        <w:t>Demod</w:t>
      </w:r>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r w:rsidR="00AB0273" w:rsidRPr="00AB0273">
        <w:rPr>
          <w:rFonts w:ascii="Courier New" w:hAnsi="Courier New" w:cs="Courier New"/>
          <w:sz w:val="24"/>
          <w:szCs w:val="24"/>
        </w:rPr>
        <w:t>est_bits</w:t>
      </w:r>
      <w:r w:rsidR="00AB0273">
        <w:rPr>
          <w:rFonts w:ascii="Times New Roman" w:hAnsi="Times New Roman" w:cs="Times New Roman"/>
          <w:sz w:val="24"/>
          <w:szCs w:val="24"/>
        </w:rPr>
        <w:t xml:space="preserve"> and is output by the </w:t>
      </w:r>
      <w:r w:rsidR="00AB0273" w:rsidRPr="00AB0273">
        <w:rPr>
          <w:rFonts w:ascii="Courier New" w:hAnsi="Courier New" w:cs="Courier New"/>
          <w:sz w:val="24"/>
          <w:szCs w:val="24"/>
        </w:rPr>
        <w:t>Demod</w:t>
      </w:r>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r w:rsidRPr="00AB0273">
        <w:rPr>
          <w:rFonts w:ascii="Courier New" w:hAnsi="Courier New" w:cs="Courier New"/>
          <w:sz w:val="24"/>
          <w:szCs w:val="24"/>
        </w:rPr>
        <w:t>est_bits</w:t>
      </w:r>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The simulated bit error rate will always get closer to the theoretical bit error rate with an increase in sequence length. However, additional sequence length will slow down simulations. As such, sequence length proves to be a tradeoff</w:t>
      </w:r>
      <w:r w:rsidR="006C00E5">
        <w:rPr>
          <w:rFonts w:ascii="Times New Roman" w:hAnsi="Times New Roman" w:cs="Times New Roman"/>
          <w:sz w:val="24"/>
          <w:szCs w:val="24"/>
        </w:rPr>
        <w:t xml:space="preserve">. </w:t>
      </w:r>
    </w:p>
    <w:p w14:paraId="3BCADE96" w14:textId="2308379F" w:rsidR="006C00E5" w:rsidRDefault="006C00E5"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is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0D4A9F77" w14:textId="79AA1FEB" w:rsidR="000E1F2C" w:rsidRDefault="000E1F2C"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 Theoretical Results</w:t>
      </w:r>
    </w:p>
    <w:p w14:paraId="0E977E06" w14:textId="09F599E5" w:rsidR="00B95CEC" w:rsidRPr="00B95CEC" w:rsidRDefault="00B95CEC" w:rsidP="003C5D33">
      <w:pPr>
        <w:rPr>
          <w:rFonts w:ascii="Times New Roman" w:hAnsi="Times New Roman" w:cs="Times New Roman"/>
          <w:sz w:val="24"/>
          <w:szCs w:val="24"/>
        </w:rPr>
      </w:pPr>
      <w:r>
        <w:rPr>
          <w:rFonts w:ascii="Times New Roman" w:hAnsi="Times New Roman" w:cs="Times New Roman"/>
          <w:sz w:val="24"/>
          <w:szCs w:val="24"/>
        </w:rPr>
        <w:t>To determine the accuracy of the algorithm results</w:t>
      </w:r>
      <w:r w:rsidR="003A2AC7">
        <w:rPr>
          <w:rFonts w:ascii="Times New Roman" w:hAnsi="Times New Roman" w:cs="Times New Roman"/>
          <w:sz w:val="24"/>
          <w:szCs w:val="24"/>
        </w:rPr>
        <w:t>,</w:t>
      </w:r>
      <w:r>
        <w:rPr>
          <w:rFonts w:ascii="Times New Roman" w:hAnsi="Times New Roman" w:cs="Times New Roman"/>
          <w:sz w:val="24"/>
          <w:szCs w:val="24"/>
        </w:rPr>
        <w:t xml:space="preserve"> the theoretical results are generated for comparison. </w:t>
      </w:r>
      <w:r w:rsidR="003A2AC7">
        <w:rPr>
          <w:rFonts w:ascii="Times New Roman" w:hAnsi="Times New Roman" w:cs="Times New Roman"/>
          <w:sz w:val="24"/>
          <w:szCs w:val="24"/>
        </w:rPr>
        <w:t>In the parts that follows, theoretical results are determined for BPSK and for 4QAM.</w:t>
      </w:r>
    </w:p>
    <w:p w14:paraId="4EE7F766" w14:textId="1CB9846C" w:rsidR="00A565C9" w:rsidRDefault="003A2AC7"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4.1 Theoretical BER for BPSK</w:t>
      </w:r>
    </w:p>
    <w:p w14:paraId="1419D404" w14:textId="1B2B4F54" w:rsidR="00D1188A" w:rsidRDefault="00D1188A" w:rsidP="00D1188A">
      <w:pPr>
        <w:rPr>
          <w:rFonts w:ascii="Times New Roman" w:hAnsi="Times New Roman" w:cs="Times New Roman"/>
          <w:sz w:val="24"/>
          <w:szCs w:val="24"/>
        </w:rPr>
      </w:pPr>
      <w:r>
        <w:rPr>
          <w:rFonts w:ascii="Times New Roman" w:hAnsi="Times New Roman" w:cs="Times New Roman"/>
          <w:sz w:val="24"/>
          <w:szCs w:val="24"/>
        </w:rPr>
        <w:t>The received BPSK symbols vary about -1 and 1 due to the additive white gaussian noise. This result is shown in Figure 4.</w:t>
      </w:r>
    </w:p>
    <w:p w14:paraId="678F10FF" w14:textId="768BEB6A" w:rsidR="00E20428" w:rsidRDefault="00E20428" w:rsidP="00D1188A">
      <w:pPr>
        <w:rPr>
          <w:rFonts w:ascii="Times New Roman" w:hAnsi="Times New Roman" w:cs="Times New Roman"/>
          <w:sz w:val="24"/>
          <w:szCs w:val="24"/>
        </w:rPr>
      </w:pPr>
    </w:p>
    <w:p w14:paraId="70D3271C" w14:textId="6F9042B2" w:rsidR="00E20428" w:rsidRDefault="00E20428" w:rsidP="00D1188A">
      <w:pPr>
        <w:rPr>
          <w:rFonts w:ascii="Times New Roman" w:hAnsi="Times New Roman" w:cs="Times New Roman"/>
          <w:sz w:val="24"/>
          <w:szCs w:val="24"/>
        </w:rPr>
      </w:pPr>
    </w:p>
    <w:p w14:paraId="0C5BABAA" w14:textId="33D55C1F" w:rsidR="00E20428" w:rsidRDefault="00E20428" w:rsidP="00D1188A">
      <w:pPr>
        <w:rPr>
          <w:rFonts w:ascii="Times New Roman" w:hAnsi="Times New Roman" w:cs="Times New Roman"/>
          <w:sz w:val="24"/>
          <w:szCs w:val="24"/>
        </w:rPr>
      </w:pPr>
    </w:p>
    <w:p w14:paraId="1B3BD00E" w14:textId="571A7C8F" w:rsidR="00E20428" w:rsidRDefault="004661F2" w:rsidP="004661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F832B" wp14:editId="4C68448C">
            <wp:extent cx="3657600" cy="2743200"/>
            <wp:effectExtent l="19050" t="19050" r="19050" b="190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2E2961A7" w14:textId="1D2F5991" w:rsidR="004661F2" w:rsidRDefault="004661F2" w:rsidP="00060F1F">
      <w:pPr>
        <w:rPr>
          <w:rFonts w:ascii="Times New Roman" w:hAnsi="Times New Roman" w:cs="Times New Roman"/>
          <w:sz w:val="24"/>
          <w:szCs w:val="24"/>
        </w:rPr>
      </w:pPr>
      <w:r>
        <w:rPr>
          <w:rFonts w:ascii="Times New Roman" w:hAnsi="Times New Roman" w:cs="Times New Roman"/>
          <w:sz w:val="24"/>
          <w:szCs w:val="24"/>
        </w:rPr>
        <w:t xml:space="preserve">Figure 4 – Probability Distribution Function of Received Symbols. The Shaded </w:t>
      </w:r>
      <w:r w:rsidR="00060F1F">
        <w:rPr>
          <w:rFonts w:ascii="Times New Roman" w:hAnsi="Times New Roman" w:cs="Times New Roman"/>
          <w:sz w:val="24"/>
          <w:szCs w:val="24"/>
        </w:rPr>
        <w:t>Areas Represent Error Probabilities.</w:t>
      </w:r>
    </w:p>
    <w:p w14:paraId="6D81E016" w14:textId="77777777" w:rsidR="00D91DBA" w:rsidRDefault="00D91DBA" w:rsidP="00060F1F">
      <w:pPr>
        <w:rPr>
          <w:rFonts w:ascii="Times New Roman" w:eastAsiaTheme="minorEastAsia" w:hAnsi="Times New Roman" w:cs="Times New Roman"/>
          <w:sz w:val="24"/>
          <w:szCs w:val="24"/>
        </w:rPr>
      </w:pPr>
      <w:r>
        <w:rPr>
          <w:rFonts w:ascii="Times New Roman" w:hAnsi="Times New Roman" w:cs="Times New Roman"/>
          <w:sz w:val="24"/>
          <w:szCs w:val="24"/>
        </w:rPr>
        <w:t xml:space="preserve">As shown in Figure 4, the received symbol is normally distributed about 1 or -1. Using the imaginary axis as the threshold, </w:t>
      </w:r>
      <w:r>
        <w:rPr>
          <w:rFonts w:ascii="Times New Roman" w:eastAsiaTheme="minorEastAsia" w:hAnsi="Times New Roman" w:cs="Times New Roman"/>
          <w:sz w:val="24"/>
          <w:szCs w:val="24"/>
        </w:rPr>
        <w:t>we find the following:</w:t>
      </w:r>
    </w:p>
    <w:p w14:paraId="3C8BC985" w14:textId="18426982" w:rsidR="00060F1F"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error</m:t>
                  </m:r>
                </m:e>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ctrlPr>
                <w:rPr>
                  <w:rFonts w:ascii="Cambria Math" w:hAnsi="Cambria Math" w:cs="Times New Roman"/>
                  <w:i/>
                  <w:sz w:val="24"/>
                  <w:szCs w:val="24"/>
                </w:rPr>
              </m:ctrlPr>
            </m:e>
          </m:eqArr>
        </m:oMath>
      </m:oMathPara>
    </w:p>
    <w:p w14:paraId="10FABF7E" w14:textId="370411AF" w:rsidR="00D91DBA" w:rsidRDefault="00D91DBA"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the area of each shaded region is equivalent to the probability of bit error. If we integrate the shaded area, we get the following value:</w:t>
      </w:r>
    </w:p>
    <w:p w14:paraId="32272F08" w14:textId="065F8CD0" w:rsidR="00D91DBA" w:rsidRPr="00D91DBA" w:rsidRDefault="00D91DBA" w:rsidP="00060F1F">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28FD5396" w14:textId="5BEE99DC" w:rsidR="00D91DBA" w:rsidRDefault="00177768" w:rsidP="00060F1F">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 xml:space="preserve"> is the standard deviation of the real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6B91815C" w14:textId="178176E8" w:rsidR="00177768" w:rsidRPr="00177768" w:rsidRDefault="00177768"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BSPK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0DA576A4" w14:textId="4AB5A6E0" w:rsidR="00177768" w:rsidRDefault="007A04C4" w:rsidP="00060F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(4), (7),</w:t>
      </w:r>
      <w:r w:rsidR="00273B06">
        <w:rPr>
          <w:rFonts w:ascii="Times New Roman" w:eastAsiaTheme="minorEastAsia" w:hAnsi="Times New Roman" w:cs="Times New Roman"/>
          <w:sz w:val="24"/>
          <w:szCs w:val="24"/>
        </w:rPr>
        <w:t xml:space="preserve"> (9)</w:t>
      </w:r>
      <w:r w:rsidR="00FA0D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(10)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oMath>
      <w:r>
        <w:rPr>
          <w:rFonts w:ascii="Times New Roman" w:eastAsiaTheme="minorEastAsia" w:hAnsi="Times New Roman" w:cs="Times New Roman"/>
          <w:sz w:val="24"/>
          <w:szCs w:val="24"/>
        </w:rPr>
        <w:t>.</w:t>
      </w:r>
    </w:p>
    <w:p w14:paraId="5954E02A" w14:textId="38AD132C" w:rsidR="007A04C4" w:rsidRPr="007A04C4" w:rsidRDefault="007A04C4" w:rsidP="00060F1F">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62C551A1" w14:textId="5AB56771" w:rsidR="007A04C4" w:rsidRDefault="002D372A" w:rsidP="00060F1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 Theoretical BER for 4QAM</w:t>
      </w:r>
    </w:p>
    <w:p w14:paraId="69E38210" w14:textId="7B5057D6" w:rsidR="004661F2" w:rsidRDefault="001B107C"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real and complex parts of the noise are independently distributed random variables. Because the real and imaginary noise are independent, the problem simplifies into two separate problems. Referring to Figure 3, we find that the real part of the noise has the potential to lead to a bit error in the first bit, while the imaginary part of the noise has the potential to lead to a bit error in the second bit.</w:t>
      </w:r>
      <w:r w:rsidR="005B217A">
        <w:rPr>
          <w:rFonts w:ascii="Times New Roman" w:eastAsiaTheme="minorEastAsia" w:hAnsi="Times New Roman" w:cs="Times New Roman"/>
          <w:sz w:val="24"/>
          <w:szCs w:val="24"/>
        </w:rPr>
        <w:t xml:space="preserve"> Since the real and imaginary parts of the noise have the same standard deviation, the probability of bit error is equivalent to an error along the real or imaginary axis. This result is summarized in Equation (12).</w:t>
      </w:r>
    </w:p>
    <w:p w14:paraId="61385AEA" w14:textId="3013996D" w:rsidR="005B217A" w:rsidRPr="005B217A" w:rsidRDefault="005B217A"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e>
          </m:eqArr>
        </m:oMath>
      </m:oMathPara>
    </w:p>
    <w:p w14:paraId="262F83B3" w14:textId="01B9BAD2" w:rsidR="005B217A" w:rsidRDefault="005B217A" w:rsidP="005B217A">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 xml:space="preserve"> is the standard deviation of the real part or imaginary part of the complex noise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They can be related as follows:</w:t>
      </w:r>
    </w:p>
    <w:p w14:paraId="07DC38EE" w14:textId="1C840228" w:rsidR="005B217A" w:rsidRPr="00177768" w:rsidRDefault="005B217A" w:rsidP="005B217A">
      <w:pPr>
        <w:rPr>
          <w:rFonts w:ascii="Times New Roman" w:eastAsiaTheme="minorEastAsia" w:hAnsi="Times New Roman" w:cs="Times New Roman"/>
          <w:sz w:val="24"/>
          <w:szCs w:val="24"/>
        </w:rPr>
      </w:pPr>
      <m:oMathPara>
        <m:oMathParaPr>
          <m:jc m:val="left"/>
        </m:oMathParaPr>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e>
          </m:eqArr>
        </m:oMath>
      </m:oMathPara>
    </w:p>
    <w:p w14:paraId="59ACC827" w14:textId="79943179" w:rsidR="00273B06" w:rsidRDefault="00273B06" w:rsidP="00273B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results of Equations (5),</w:t>
      </w:r>
      <w:r w:rsidR="00FA0DC7">
        <w:rPr>
          <w:rFonts w:ascii="Times New Roman" w:eastAsiaTheme="minorEastAsia" w:hAnsi="Times New Roman" w:cs="Times New Roman"/>
          <w:sz w:val="24"/>
          <w:szCs w:val="24"/>
        </w:rPr>
        <w:t xml:space="preserve"> (7),</w:t>
      </w:r>
      <w:r>
        <w:rPr>
          <w:rFonts w:ascii="Times New Roman" w:eastAsiaTheme="minorEastAsia" w:hAnsi="Times New Roman" w:cs="Times New Roman"/>
          <w:sz w:val="24"/>
          <w:szCs w:val="24"/>
        </w:rPr>
        <w:t xml:space="preserve"> (12), and (13) we can relate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oMath>
      <w:r>
        <w:rPr>
          <w:rFonts w:ascii="Times New Roman" w:eastAsiaTheme="minorEastAsia" w:hAnsi="Times New Roman" w:cs="Times New Roman"/>
          <w:sz w:val="24"/>
          <w:szCs w:val="24"/>
        </w:rPr>
        <w:t>.</w:t>
      </w:r>
    </w:p>
    <w:p w14:paraId="7AF1B812" w14:textId="6414D3F0" w:rsidR="005B217A" w:rsidRPr="00904010" w:rsidRDefault="00FA0DC7" w:rsidP="001B107C">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n</m:t>
                          </m:r>
                        </m:sub>
                      </m:sSub>
                    </m:den>
                  </m:f>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e>
                  </m:ra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m:t>
                  </m:r>
                </m:e>
              </m:d>
            </m:e>
          </m:eqArr>
        </m:oMath>
      </m:oMathPara>
    </w:p>
    <w:p w14:paraId="0E139613" w14:textId="3F3136C7" w:rsidR="00904010" w:rsidRDefault="00904010"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 Comparison of Algorithm Results to Theoretical Results</w:t>
      </w:r>
    </w:p>
    <w:p w14:paraId="5162CC57" w14:textId="77777777" w:rsidR="00BF4E8A" w:rsidRDefault="007E3F18"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section uses a binary sequence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xml:space="preserve"> to derive BER results for both BPSK and 4QAM. These results are then compared with the theoretical results.</w:t>
      </w:r>
    </w:p>
    <w:p w14:paraId="09F961A8" w14:textId="0E9AC489" w:rsidR="007447EB" w:rsidRDefault="00BF4E8A"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5.1 </w:t>
      </w:r>
      <w:r w:rsidR="007447EB">
        <w:rPr>
          <w:rFonts w:ascii="Times New Roman" w:eastAsiaTheme="minorEastAsia" w:hAnsi="Times New Roman" w:cs="Times New Roman"/>
          <w:b/>
          <w:bCs/>
          <w:sz w:val="24"/>
          <w:szCs w:val="24"/>
        </w:rPr>
        <w:t>BPSK BER Results</w:t>
      </w:r>
    </w:p>
    <w:p w14:paraId="62727C48" w14:textId="0FBC5A1D" w:rsidR="007447EB" w:rsidRDefault="001E7B34" w:rsidP="001B1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displays the theoretical and actual BER results for BPSK modulation</w:t>
      </w:r>
      <w:r w:rsidR="000816C8">
        <w:rPr>
          <w:rFonts w:ascii="Times New Roman" w:eastAsiaTheme="minorEastAsia" w:hAnsi="Times New Roman" w:cs="Times New Roman"/>
          <w:sz w:val="24"/>
          <w:szCs w:val="24"/>
        </w:rPr>
        <w:t>. Note that both the theoretical and actual results are approximately equivalent.</w:t>
      </w:r>
    </w:p>
    <w:p w14:paraId="47D9D085" w14:textId="756AA8A2" w:rsidR="000816C8"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90F88A8" wp14:editId="39866F5A">
            <wp:extent cx="3657600" cy="2743200"/>
            <wp:effectExtent l="19050" t="19050" r="19050" b="1905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17D43FFF" w14:textId="7EF8F7F3"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 Plot of Theoretical and Actual BER Results when BPSK Modulation is Used.</w:t>
      </w:r>
    </w:p>
    <w:p w14:paraId="5E0F4EED" w14:textId="225AC094" w:rsidR="00904010" w:rsidRPr="007447EB" w:rsidRDefault="007447EB" w:rsidP="001B107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5.2 4QAM BER Results</w:t>
      </w:r>
      <w:r w:rsidR="007E3F18">
        <w:rPr>
          <w:rFonts w:ascii="Times New Roman" w:eastAsiaTheme="minorEastAsia" w:hAnsi="Times New Roman" w:cs="Times New Roman"/>
          <w:sz w:val="24"/>
          <w:szCs w:val="24"/>
        </w:rPr>
        <w:t xml:space="preserve"> </w:t>
      </w:r>
    </w:p>
    <w:p w14:paraId="3FE965CB" w14:textId="2CBC6FE2" w:rsidR="009A0D2F" w:rsidRDefault="009A0D2F"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displays the theoretical and actual BER results for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Note that both the theoretical and actual results are approximately equivalent.</w:t>
      </w:r>
    </w:p>
    <w:p w14:paraId="541D022C" w14:textId="4A753909" w:rsidR="009A0D2F"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A0D1295" wp14:editId="1C503BDE">
            <wp:extent cx="3657600" cy="2743200"/>
            <wp:effectExtent l="19050" t="19050" r="19050" b="190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65E4AC98" w14:textId="615A2104" w:rsidR="009A0D2F" w:rsidRPr="001E7B34" w:rsidRDefault="009A0D2F" w:rsidP="009A0D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 Plot of Theoretical and Actual BER Results when </w:t>
      </w:r>
      <w:r>
        <w:rPr>
          <w:rFonts w:ascii="Times New Roman" w:eastAsiaTheme="minorEastAsia" w:hAnsi="Times New Roman" w:cs="Times New Roman"/>
          <w:sz w:val="24"/>
          <w:szCs w:val="24"/>
        </w:rPr>
        <w:t>4QAM</w:t>
      </w:r>
      <w:r>
        <w:rPr>
          <w:rFonts w:ascii="Times New Roman" w:eastAsiaTheme="minorEastAsia" w:hAnsi="Times New Roman" w:cs="Times New Roman"/>
          <w:sz w:val="24"/>
          <w:szCs w:val="24"/>
        </w:rPr>
        <w:t xml:space="preserve"> Modulation is Used.</w:t>
      </w:r>
    </w:p>
    <w:p w14:paraId="0E19F41A" w14:textId="26C025A7" w:rsidR="009A0D2F" w:rsidRDefault="009A0D2F"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5.3 Comparison of BPSK and 4QAM Modulation</w:t>
      </w:r>
    </w:p>
    <w:p w14:paraId="3471521C" w14:textId="61AB56E8" w:rsidR="009A0D2F" w:rsidRDefault="00995EEC" w:rsidP="009A0D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Examining both plots, we find that the BER is approximately equivalent for BPSK and 4QAM modulation. This result can be confirmed both through reason and mathematically. We would expect BPSK to have a lower BER for a given SNR because the distance to the decision boundary is greater. However, we also know that the noise variance is greater for BPSK. This increase in noise variance offsets the increased distance to the decision boundary. As a result of this offset, BPSK and 4QAM have the same </w:t>
      </w:r>
      <w:r w:rsidR="00184894">
        <w:rPr>
          <w:rFonts w:ascii="Times New Roman" w:eastAsiaTheme="minorEastAsia" w:hAnsi="Times New Roman" w:cs="Times New Roman"/>
          <w:sz w:val="24"/>
          <w:szCs w:val="24"/>
        </w:rPr>
        <w:t>BER for a given SNR. This result has been proven mathematically as well. Referring to equations (11) and (14), we can draw the same conclusion.</w:t>
      </w:r>
    </w:p>
    <w:p w14:paraId="0531DA53" w14:textId="20083A06" w:rsidR="00184894" w:rsidRDefault="00184894" w:rsidP="009A0D2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6. Conclusion</w:t>
      </w:r>
    </w:p>
    <w:p w14:paraId="76A6B64B" w14:textId="24EE57DD" w:rsidR="004B3327" w:rsidRPr="004B3327" w:rsidRDefault="00406ACC" w:rsidP="00405DA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This</w:t>
      </w:r>
      <w:r w:rsidRPr="00D87529">
        <w:rPr>
          <w:rFonts w:ascii="Times New Roman" w:hAnsi="Times New Roman" w:cs="Times New Roman"/>
          <w:sz w:val="24"/>
          <w:szCs w:val="24"/>
        </w:rPr>
        <w:t xml:space="preserve"> project </w:t>
      </w:r>
      <w:r>
        <w:rPr>
          <w:rFonts w:ascii="Times New Roman" w:hAnsi="Times New Roman" w:cs="Times New Roman"/>
          <w:sz w:val="24"/>
          <w:szCs w:val="24"/>
        </w:rPr>
        <w:t>successfully</w:t>
      </w:r>
      <w:r w:rsidRPr="00D87529">
        <w:rPr>
          <w:rFonts w:ascii="Times New Roman" w:hAnsi="Times New Roman" w:cs="Times New Roman"/>
          <w:sz w:val="24"/>
          <w:szCs w:val="24"/>
        </w:rPr>
        <w:t xml:space="preserve"> </w:t>
      </w:r>
      <w:r>
        <w:rPr>
          <w:rFonts w:ascii="Times New Roman" w:hAnsi="Times New Roman" w:cs="Times New Roman"/>
          <w:sz w:val="24"/>
          <w:szCs w:val="24"/>
        </w:rPr>
        <w:t>simulate</w:t>
      </w:r>
      <w:r>
        <w:rPr>
          <w:rFonts w:ascii="Times New Roman" w:hAnsi="Times New Roman" w:cs="Times New Roman"/>
          <w:sz w:val="24"/>
          <w:szCs w:val="24"/>
        </w:rPr>
        <w:t xml:space="preserve">d </w:t>
      </w:r>
      <w:r>
        <w:rPr>
          <w:rFonts w:ascii="Times New Roman" w:hAnsi="Times New Roman" w:cs="Times New Roman"/>
          <w:sz w:val="24"/>
          <w:szCs w:val="24"/>
        </w:rPr>
        <w:t>a baseband digital communication system using MATLAB.</w:t>
      </w:r>
      <w:r>
        <w:rPr>
          <w:rFonts w:ascii="Times New Roman" w:hAnsi="Times New Roman" w:cs="Times New Roman"/>
          <w:sz w:val="24"/>
          <w:szCs w:val="24"/>
        </w:rPr>
        <w:t xml:space="preserve"> </w:t>
      </w:r>
      <w:r w:rsidR="000B3041">
        <w:rPr>
          <w:rFonts w:ascii="Times New Roman" w:hAnsi="Times New Roman" w:cs="Times New Roman"/>
          <w:sz w:val="24"/>
          <w:szCs w:val="24"/>
        </w:rPr>
        <w:t>The document</w:t>
      </w:r>
      <w:r>
        <w:rPr>
          <w:rFonts w:ascii="Times New Roman" w:hAnsi="Times New Roman" w:cs="Times New Roman"/>
          <w:sz w:val="24"/>
          <w:szCs w:val="24"/>
        </w:rPr>
        <w:t xml:space="preserve"> describe</w:t>
      </w:r>
      <w:r w:rsidR="00555D33">
        <w:rPr>
          <w:rFonts w:ascii="Times New Roman" w:hAnsi="Times New Roman" w:cs="Times New Roman"/>
          <w:sz w:val="24"/>
          <w:szCs w:val="24"/>
        </w:rPr>
        <w:t>s</w:t>
      </w:r>
      <w:r>
        <w:rPr>
          <w:rFonts w:ascii="Times New Roman" w:hAnsi="Times New Roman" w:cs="Times New Roman"/>
          <w:sz w:val="24"/>
          <w:szCs w:val="24"/>
        </w:rPr>
        <w:t xml:space="preserve"> the algorithm and </w:t>
      </w:r>
      <w:r w:rsidR="000B3041">
        <w:rPr>
          <w:rFonts w:ascii="Times New Roman" w:hAnsi="Times New Roman" w:cs="Times New Roman"/>
          <w:sz w:val="24"/>
          <w:szCs w:val="24"/>
        </w:rPr>
        <w:t>blocks composing it</w:t>
      </w:r>
      <w:r>
        <w:rPr>
          <w:rFonts w:ascii="Times New Roman" w:hAnsi="Times New Roman" w:cs="Times New Roman"/>
          <w:sz w:val="24"/>
          <w:szCs w:val="24"/>
        </w:rPr>
        <w:t>. These blocks included: data generation, modulation, noise generation, receiver, demodulation, and determination of bit error rate.</w:t>
      </w:r>
      <w:r w:rsidR="000B3041">
        <w:rPr>
          <w:rFonts w:ascii="Times New Roman" w:hAnsi="Times New Roman" w:cs="Times New Roman"/>
          <w:sz w:val="24"/>
          <w:szCs w:val="24"/>
        </w:rPr>
        <w:t xml:space="preserve"> The theory behind the algorithm was also discussed. This discussion included topics such as the constellation diagram, symbol energy, </w:t>
      </w:r>
      <w:r w:rsidR="00405DA0">
        <w:rPr>
          <w:rFonts w:ascii="Times New Roman" w:hAnsi="Times New Roman" w:cs="Times New Roman"/>
          <w:sz w:val="24"/>
          <w:szCs w:val="24"/>
        </w:rPr>
        <w:t>demodulation techniques, gray mapping, and bit sequence length. After this discussion of algorithm and theory, the theoretical BPSK and 4QAM bit error</w:t>
      </w:r>
      <w:r w:rsidR="005F5267">
        <w:rPr>
          <w:rFonts w:ascii="Times New Roman" w:hAnsi="Times New Roman" w:cs="Times New Roman"/>
          <w:sz w:val="24"/>
          <w:szCs w:val="24"/>
        </w:rPr>
        <w:t xml:space="preserve"> rates</w:t>
      </w:r>
      <w:r w:rsidR="00405DA0">
        <w:rPr>
          <w:rFonts w:ascii="Times New Roman" w:hAnsi="Times New Roman" w:cs="Times New Roman"/>
          <w:sz w:val="24"/>
          <w:szCs w:val="24"/>
        </w:rPr>
        <w:t xml:space="preserve"> were derived. Finally, the algorithm results were compared to the theoretical results, and were found to be approximately equivalent. Not only this, but the bit error rate for BPSK and 4QAM was </w:t>
      </w:r>
      <w:r w:rsidR="005F5267">
        <w:rPr>
          <w:rFonts w:ascii="Times New Roman" w:hAnsi="Times New Roman" w:cs="Times New Roman"/>
          <w:sz w:val="24"/>
          <w:szCs w:val="24"/>
        </w:rPr>
        <w:t xml:space="preserve">also </w:t>
      </w:r>
      <w:r w:rsidR="00405DA0">
        <w:rPr>
          <w:rFonts w:ascii="Times New Roman" w:hAnsi="Times New Roman" w:cs="Times New Roman"/>
          <w:sz w:val="24"/>
          <w:szCs w:val="24"/>
        </w:rPr>
        <w:t>found to be equivalent.</w:t>
      </w:r>
    </w:p>
    <w:sectPr w:rsidR="004B3327" w:rsidRPr="004B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0F1F"/>
    <w:rsid w:val="00061E3F"/>
    <w:rsid w:val="00066450"/>
    <w:rsid w:val="00067A1E"/>
    <w:rsid w:val="00071AD0"/>
    <w:rsid w:val="000778A3"/>
    <w:rsid w:val="000816C8"/>
    <w:rsid w:val="00084DDB"/>
    <w:rsid w:val="00092C7F"/>
    <w:rsid w:val="000B3041"/>
    <w:rsid w:val="000C12D2"/>
    <w:rsid w:val="000D09BA"/>
    <w:rsid w:val="000D723F"/>
    <w:rsid w:val="000E1F2C"/>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77768"/>
    <w:rsid w:val="001823E9"/>
    <w:rsid w:val="00183E53"/>
    <w:rsid w:val="00184894"/>
    <w:rsid w:val="00186045"/>
    <w:rsid w:val="00195021"/>
    <w:rsid w:val="001A2884"/>
    <w:rsid w:val="001A4FD3"/>
    <w:rsid w:val="001B08E3"/>
    <w:rsid w:val="001B107C"/>
    <w:rsid w:val="001B3C3B"/>
    <w:rsid w:val="001C16C0"/>
    <w:rsid w:val="001C2E36"/>
    <w:rsid w:val="001C7C05"/>
    <w:rsid w:val="001D6352"/>
    <w:rsid w:val="001E5004"/>
    <w:rsid w:val="001E7B3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73B06"/>
    <w:rsid w:val="00280B10"/>
    <w:rsid w:val="00285B75"/>
    <w:rsid w:val="00295CB8"/>
    <w:rsid w:val="002A3BE4"/>
    <w:rsid w:val="002B2ADE"/>
    <w:rsid w:val="002C38AD"/>
    <w:rsid w:val="002C4702"/>
    <w:rsid w:val="002C480D"/>
    <w:rsid w:val="002D3439"/>
    <w:rsid w:val="002D372A"/>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2AC7"/>
    <w:rsid w:val="003A6924"/>
    <w:rsid w:val="003A73C9"/>
    <w:rsid w:val="003C3144"/>
    <w:rsid w:val="003C5D33"/>
    <w:rsid w:val="003D7D76"/>
    <w:rsid w:val="003E27B7"/>
    <w:rsid w:val="003E3E3C"/>
    <w:rsid w:val="003E428A"/>
    <w:rsid w:val="003E4968"/>
    <w:rsid w:val="003E496F"/>
    <w:rsid w:val="003F4D5F"/>
    <w:rsid w:val="003F6B83"/>
    <w:rsid w:val="00403505"/>
    <w:rsid w:val="00405DA0"/>
    <w:rsid w:val="00406ACC"/>
    <w:rsid w:val="00431F72"/>
    <w:rsid w:val="004406CC"/>
    <w:rsid w:val="00444094"/>
    <w:rsid w:val="004479F7"/>
    <w:rsid w:val="00451B88"/>
    <w:rsid w:val="00455AC4"/>
    <w:rsid w:val="004564CE"/>
    <w:rsid w:val="004642A5"/>
    <w:rsid w:val="004661F2"/>
    <w:rsid w:val="00470FEF"/>
    <w:rsid w:val="00472305"/>
    <w:rsid w:val="0047646D"/>
    <w:rsid w:val="00484CFA"/>
    <w:rsid w:val="004969B0"/>
    <w:rsid w:val="004A1ED5"/>
    <w:rsid w:val="004A4A00"/>
    <w:rsid w:val="004B2440"/>
    <w:rsid w:val="004B3327"/>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55D33"/>
    <w:rsid w:val="005615E7"/>
    <w:rsid w:val="005636B9"/>
    <w:rsid w:val="00580C8C"/>
    <w:rsid w:val="0058121E"/>
    <w:rsid w:val="00594907"/>
    <w:rsid w:val="005A4B1A"/>
    <w:rsid w:val="005B16FE"/>
    <w:rsid w:val="005B217A"/>
    <w:rsid w:val="005B3FD0"/>
    <w:rsid w:val="005B4E26"/>
    <w:rsid w:val="005C4862"/>
    <w:rsid w:val="005C5B34"/>
    <w:rsid w:val="005D3A42"/>
    <w:rsid w:val="005D7B0B"/>
    <w:rsid w:val="005F3B4E"/>
    <w:rsid w:val="005F42AC"/>
    <w:rsid w:val="005F5267"/>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447EB"/>
    <w:rsid w:val="007666CA"/>
    <w:rsid w:val="00780DE0"/>
    <w:rsid w:val="00781F39"/>
    <w:rsid w:val="00791BFF"/>
    <w:rsid w:val="0079246A"/>
    <w:rsid w:val="00793DC5"/>
    <w:rsid w:val="007948C4"/>
    <w:rsid w:val="007A04C4"/>
    <w:rsid w:val="007A0CCE"/>
    <w:rsid w:val="007A2E3C"/>
    <w:rsid w:val="007A58FE"/>
    <w:rsid w:val="007B164E"/>
    <w:rsid w:val="007B1FAA"/>
    <w:rsid w:val="007D5749"/>
    <w:rsid w:val="007D6937"/>
    <w:rsid w:val="007E3F18"/>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04010"/>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95EEC"/>
    <w:rsid w:val="009A0D2F"/>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95CEC"/>
    <w:rsid w:val="00BB5F03"/>
    <w:rsid w:val="00BC14EC"/>
    <w:rsid w:val="00BC79C1"/>
    <w:rsid w:val="00BD054F"/>
    <w:rsid w:val="00BE0B9C"/>
    <w:rsid w:val="00BE6CBA"/>
    <w:rsid w:val="00BF05A6"/>
    <w:rsid w:val="00BF0AB9"/>
    <w:rsid w:val="00BF2359"/>
    <w:rsid w:val="00BF4E8A"/>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188A"/>
    <w:rsid w:val="00D17C4B"/>
    <w:rsid w:val="00D23793"/>
    <w:rsid w:val="00D25DF0"/>
    <w:rsid w:val="00D27E39"/>
    <w:rsid w:val="00D46658"/>
    <w:rsid w:val="00D518C0"/>
    <w:rsid w:val="00D65953"/>
    <w:rsid w:val="00D74EE1"/>
    <w:rsid w:val="00D76AF0"/>
    <w:rsid w:val="00D862B6"/>
    <w:rsid w:val="00D87529"/>
    <w:rsid w:val="00D91DBA"/>
    <w:rsid w:val="00DA6C6D"/>
    <w:rsid w:val="00DB73B2"/>
    <w:rsid w:val="00DD5F70"/>
    <w:rsid w:val="00DD69ED"/>
    <w:rsid w:val="00DE3CEE"/>
    <w:rsid w:val="00DF1160"/>
    <w:rsid w:val="00DF78AF"/>
    <w:rsid w:val="00E029FF"/>
    <w:rsid w:val="00E0509E"/>
    <w:rsid w:val="00E0603A"/>
    <w:rsid w:val="00E07E62"/>
    <w:rsid w:val="00E15ADE"/>
    <w:rsid w:val="00E20428"/>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0DC7"/>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78</cp:revision>
  <dcterms:created xsi:type="dcterms:W3CDTF">2021-04-11T19:50:00Z</dcterms:created>
  <dcterms:modified xsi:type="dcterms:W3CDTF">2021-04-12T04:58:00Z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