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-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</w:pPr>
      <w:r>
        <w:t>工作进度汇报</w:t>
      </w:r>
    </w:p>
    <w:p>
      <w:pPr>
        <w:pStyle w:val="正文 文本"/>
      </w:pPr>
      <w:r>
        <w:t>汇报人：谭成</w:t>
      </w:r>
    </w:p>
    <w:p>
      <w:pPr>
        <w:pStyle w:val="正文 文本"/>
      </w:pPr>
      <w:r>
        <w:t>日期：2026年4月10日</w:t>
      </w:r>
    </w:p>
    <w:p>
      <w:pPr>
        <w:pStyle w:val="正文一级标题"/>
      </w:pPr>
      <w:r>
        <w:t>一、近期主要工作内容</w:t>
      </w:r>
    </w:p>
    <w:p>
      <w:pPr>
        <w:pStyle w:val="正文 文本"/>
      </w:pPr>
      <w:r>
        <w:t>1. 论文方法论章节的初步撰写</w:t>
      </w:r>
    </w:p>
    <w:p>
      <w:pPr>
        <w:pStyle w:val="正文 文本"/>
      </w:pPr>
      <w:r>
        <w:t>按照上周的计划，本周将精力主要放在了</w:t>
      </w:r>
      <w:r>
        <w:rPr>
          <w:b/>
        </w:rPr>
        <w:t>论文Method部分</w:t>
      </w:r>
      <w:r>
        <w:t>的初步撰写上。重点整理了粒球构建模块与自适应扩散机制的核心思路，将其转化为较为规范的数学表达形式。粒球构建部分的公式已基本成型，明确了以节点特征相似度与拓扑连接关系联合划分粒球的方式；扩散机制部分也初步完成了自适应门控系数的公式化描述，将其从上周的工程实现版本转化为符号形式。目前方法论章节整体框架已基本搭建完毕，后续需要进一步打磨语言表述与公式细节。</w:t>
      </w:r>
    </w:p>
    <w:p>
      <w:pPr>
        <w:pStyle w:val="正文二级标题"/>
      </w:pPr>
      <w:r>
        <w:t>2. 消融实验的扩展与完善</w:t>
      </w:r>
    </w:p>
    <w:p>
      <w:pPr>
        <w:pStyle w:val="正文 文本"/>
      </w:pPr>
      <w:r>
        <w:t>本周在上周采样加速策略和自适应门控两个改动的基础上，进行了更为完整的</w:t>
      </w:r>
      <w:r>
        <w:rPr>
          <w:b/>
        </w:rPr>
        <w:t>消融实验</w:t>
      </w:r>
      <w:r>
        <w:t>。具体而言，在Computers和CS两个数据集上，逐步加入各模块并记录性能变化：基础模型（无粒球）→ 加入粒球构建 → 加入邻域采样加速 → 加入自适应门控扩散。实验结果显示，粒球构建模块是核心增益来源，在CS数据集上带来了约0.8%的提升；邻域采样加速对精度影响极小（&lt;0.3%），但训练时间缩短约35%；自适应门控在高噪声配置下表现出一定稳定性，在标准设置下提升较为有限。总体上各模块的贡献方向符合预期，消融结论初步成立。</w:t>
      </w:r>
    </w:p>
    <w:p>
      <w:pPr>
        <w:pStyle w:val="正文二级标题"/>
      </w:pPr>
      <w:r>
        <w:t>3. 与对比方法的初步比较</w:t>
      </w:r>
    </w:p>
    <w:p>
      <w:pPr>
        <w:pStyle w:val="正文 文本"/>
      </w:pPr>
      <w:r>
        <w:t>本周还尝试在CS数据集上与</w:t>
      </w:r>
      <w:r>
        <w:rPr>
          <w:b/>
        </w:rPr>
        <w:t>BGRL</w:t>
      </w:r>
      <w:r>
        <w:t>做了一次初步对比。从已有结果来看，当前方法在CS上的分类准确率（clf_mean约为93.9%）与BGRL报告结果相近，整体处于合理区间。Photo数据集因homo/cos配置下得分较高（约93.6%），目前表现较为稳定。Physics数据集精度约96.2%，也在正常范围内。需要注意的是，当前对比仍属于初步阶段，后续需增加多次随机种子的均值与方差报告，使实验结论更具说服力。</w:t>
      </w:r>
    </w:p>
    <w:p>
      <w:pPr>
        <w:pStyle w:val="正文一级标题"/>
      </w:pPr>
      <w:r>
        <w:t>二、下周工作计划</w:t>
      </w:r>
    </w:p>
    <w:p>
      <w:pPr>
        <w:pStyle w:val="正文 文本"/>
      </w:pPr>
      <w:r>
        <w:t>1. 完成论文Method章节的修改与打磨</w:t>
      </w:r>
    </w:p>
    <w:p>
      <w:pPr>
        <w:pStyle w:val="正文 文本"/>
      </w:pPr>
      <w:r>
        <w:t>在本周初稿的基础上，进一步优化公式描述的严谨性，补充必要的符号说明和模块示意图；</w:t>
      </w:r>
      <w:r>
        <w:t>目标是本周内完成可用于导师审阅的初稿版本。</w:t>
      </w:r>
    </w:p>
    <w:p>
      <w:pPr>
        <w:pStyle w:val="正文二级标题"/>
      </w:pPr>
      <w:r>
        <w:t>2. 扩展对比实验范围</w:t>
      </w:r>
    </w:p>
    <w:p>
      <w:pPr>
        <w:pStyle w:val="正文 文本"/>
      </w:pPr>
      <w:r>
        <w:t>进一步补充</w:t>
      </w:r>
      <w:r>
        <w:rPr>
          <w:b/>
        </w:rPr>
        <w:t>GraphCL、MVGRL</w:t>
      </w:r>
      <w:r>
        <w:t>等主流方法的对比，覆盖Computers、Photo、Physics等全部测试集，并以多次随机实验的均值±标准差形式呈现结果。</w:t>
      </w:r>
    </w:p>
    <w:p>
      <w:pPr>
        <w:pStyle w:val="正文二级标题"/>
      </w:pPr>
      <w:r>
        <w:t>3. 整理实验日志与代码注释</w:t>
      </w:r>
    </w:p>
    <w:p>
      <w:pPr>
        <w:pStyle w:val="正文 文本"/>
      </w:pPr>
      <w:r>
        <w:t>对logs目录下的实验记录进行整理，筛选出性能最优的超参数配置，更新README与实验说明文档，便于后期复现与投稿时的材料整理。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theme" Target="theme/theme-1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header" Target="header1.xml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2026-04-03T11:24:40Z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vgI46Tuw5mkxKs4XNAtfJDw86xOxZjl7jb31rSYKvo=","ProduceID":"doc_sgs:270d5af3-58bb-4aa0-87d2-4e7872ac7e1c","ReservedCode2":"svgI46Tuw5mkxKs4XNAtfJDw86xOxZjl7jb31rSYKvo=","PropagateID":"doc_sgs:270d5af3-58bb-4aa0-87d2-4e7872ac7e1c","ContentProducer":"001191440101MA9Y9T4H7A00000"}</vt:lpwstr>
  </property>
</Properties>
</file>