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微软雅黑" w:ascii="宋体" w:hAnsi="宋体"/>
          <w:rFonts w:ascii="宋体" w:hAnsi="宋体"/>
          <w:b/>
          <w:color w:val="1F3864"/>
          <w:sz w:val="36"/>
        </w:rPr>
        <w:t>工作进度汇报</w:t>
      </w:r>
    </w:p>
    <w:p>
      <w:pPr>
        <w:spacing w:after="120" w:before="0"/>
        <w:jc w:val="left"/>
      </w:pPr>
      <w:r>
        <w:rPr>
          <w:rFonts w:eastAsia="宋体" w:ascii="宋体" w:hAnsi="宋体"/>
          <w:rFonts w:ascii="宋体" w:hAnsi="宋体"/>
          <w:sz w:val="24"/>
        </w:rPr>
      </w:r>
    </w:p>
    <w:p>
      <w:pPr>
        <w:spacing w:after="40" w:before="0"/>
        <w:jc w:val="left"/>
      </w:pPr>
      <w:r>
        <w:rPr>
          <w:rFonts w:eastAsia="宋体" w:ascii="宋体" w:hAnsi="宋体"/>
          <w:rFonts w:ascii="宋体" w:hAnsi="宋体"/>
          <w:sz w:val="24"/>
        </w:rPr>
        <w:t>汇报人：谭成</w:t>
      </w:r>
    </w:p>
    <w:p>
      <w:pPr>
        <w:spacing w:after="240" w:before="0"/>
        <w:jc w:val="left"/>
      </w:pPr>
      <w:r>
        <w:rPr>
          <w:rFonts w:eastAsia="宋体" w:ascii="宋体" w:hAnsi="宋体"/>
          <w:rFonts w:ascii="宋体" w:hAnsi="宋体"/>
          <w:sz w:val="24"/>
        </w:rPr>
        <w:t>日期：2026年4月17日</w:t>
      </w:r>
    </w:p>
    <w:p>
      <w:pPr>
        <w:spacing w:before="0" w:after="240"/>
        <w:pBdr>
          <w:bottom w:val="single" w:sz="6" w:space="1" w:color="2E75B6"/>
        </w:pBdr>
      </w:pPr>
    </w:p>
    <w:p>
      <w:pPr>
        <w:spacing w:after="160" w:before="120"/>
        <w:jc w:val="left"/>
      </w:pPr>
      <w:r>
        <w:rPr>
          <w:rFonts w:eastAsia="微软雅黑" w:ascii="宋体" w:hAnsi="宋体"/>
          <w:rFonts w:ascii="宋体" w:hAnsi="宋体"/>
          <w:b/>
          <w:color w:val="2E75B6"/>
          <w:sz w:val="28"/>
        </w:rPr>
        <w:t>一、近期主要工作内容</w:t>
      </w:r>
    </w:p>
    <w:p>
      <w:pPr>
        <w:spacing w:after="80" w:before="0"/>
        <w:jc w:val="left"/>
      </w:pPr>
      <w:r>
        <w:rPr>
          <w:rFonts w:eastAsia="宋体" w:ascii="宋体" w:hAnsi="宋体"/>
          <w:rFonts w:ascii="宋体" w:hAnsi="宋体"/>
          <w:b/>
          <w:sz w:val="24"/>
        </w:rPr>
        <w:t>1. 实验结果分化现象的发现与初步分析</w:t>
      </w:r>
    </w:p>
    <w:p>
      <w:pPr>
        <w:spacing w:after="16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本周在前期完整消融实验与对比实验的基础上，对各数据集上的分类准确率结果进行了系统搜理。结果发现：CS 和 Computers 数据集表现较为稳定，当前方法相比 BGRL 处于持平或略优区间；然而 Photo 数据集在部分配置（特别是 homo/cos）下出现了明显回落，而 Physics 数据集的结果则受随机种子影响较大，不同种子的结果波动幅度超出了预期范围。整体而言，出现了“部分数据集效果良好、部分数据集效果不稳定”的分化现象，这提示当前方法对数据集特性的适应性存在差异，有必要对背后原因进行深入排查。</w:t>
      </w:r>
    </w:p>
    <w:p>
      <w:pPr>
        <w:spacing w:after="80" w:before="0"/>
        <w:jc w:val="left"/>
      </w:pPr>
      <w:r>
        <w:rPr>
          <w:rFonts w:eastAsia="宋体" w:ascii="宋体" w:hAnsi="宋体"/>
          <w:rFonts w:ascii="宋体" w:hAnsi="宋体"/>
          <w:b/>
          <w:sz w:val="24"/>
        </w:rPr>
        <w:t>2. 跨数据集分化原因的初步排查</w:t>
      </w:r>
    </w:p>
    <w:p>
      <w:pPr>
        <w:spacing w:after="80" w:before="0"/>
        <w:jc w:val="left"/>
      </w:pPr>
      <w:r>
        <w:rPr>
          <w:rFonts w:eastAsia="宋体" w:ascii="宋体" w:hAnsi="宋体"/>
          <w:rFonts w:ascii="宋体" w:hAnsi="宋体"/>
          <w:sz w:val="24"/>
        </w:rPr>
        <w:t>针对上述分化现象，本周重点围绕以下几个维度开展了初步排查：</w:t>
      </w:r>
    </w:p>
    <w:p>
      <w:pPr>
        <w:spacing w:after="12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（1）标签噪声与数据纯度：Physics 数据集的节点标签中存在一定比例的噪声或模糊类别，粒球划分时若将不同语义节点混入同一粒球，会直接影响后续对比学习的质量，这是 Physics 波动大的可能原因之一。</w:t>
      </w:r>
    </w:p>
    <w:p>
      <w:pPr>
        <w:spacing w:after="12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（2）图结构差异：Computers 和 CS 的图拓扑结构较为规整，粒球划分边界相对清晰；而 Photo 数据集的拓扑结构较为稀留，导致粒球边界不够明确，再次影响 Ball Graph 的质量。</w:t>
      </w:r>
    </w:p>
    <w:p>
      <w:pPr>
        <w:spacing w:after="12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（3）特征空间分布：各数据集的特征分布差异较大，CS/Computers 的特征在低维空间具有较好的类内凲集性，而 Photo 特征分布更为分散，影响了 K-Means 初始化的稳定性。</w:t>
      </w:r>
    </w:p>
    <w:p>
      <w:pPr>
        <w:spacing w:after="12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（4）超参数灵敏性：初步对比发现，当前的 Top-K 采样参数 K 和对比损失温度参数 τ 在不同数据集上的最优值存在差异，可能需要针对不同数据集进行参数适配。</w:t>
      </w:r>
    </w:p>
    <w:p>
      <w:pPr>
        <w:spacing w:after="80" w:before="0"/>
        <w:jc w:val="left"/>
      </w:pPr>
      <w:r>
        <w:rPr>
          <w:rFonts w:eastAsia="宋体" w:ascii="宋体" w:hAnsi="宋体"/>
          <w:rFonts w:ascii="宋体" w:hAnsi="宋体"/>
          <w:b/>
          <w:sz w:val="24"/>
        </w:rPr>
        <w:t>3. 实验验证方案的设计</w:t>
      </w:r>
    </w:p>
    <w:p>
      <w:pPr>
        <w:spacing w:after="80" w:before="0"/>
        <w:jc w:val="left"/>
      </w:pPr>
      <w:r>
        <w:rPr>
          <w:rFonts w:eastAsia="宋体" w:ascii="宋体" w:hAnsi="宋体"/>
          <w:rFonts w:ascii="宋体" w:hAnsi="宋体"/>
          <w:sz w:val="24"/>
        </w:rPr>
        <w:t>为系统定位各数据集表现分化的根本原因，本周设计了一套对照实验方案，计划从下周开始邀迷执行：</w:t>
      </w:r>
    </w:p>
    <w:p>
      <w:pPr>
        <w:spacing w:after="8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（a）固定粒球划分策略，改变 Ball Graph 的加权方式（纯拓扑权重 vs. 拓扑+特征联合权重），观察不同数据集的灵敏程度；</w:t>
      </w:r>
    </w:p>
    <w:p>
      <w:pPr>
        <w:spacing w:after="8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（b）控制随机种子数量（1次 / 5次 / 10次），对比 Physics 数据集在不同种子数下的均值与方差，验证波动来源是否为种子问题；</w:t>
      </w:r>
    </w:p>
    <w:p>
      <w:pPr>
        <w:spacing w:after="8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（c）引入 GraphCL / MVGRL 在 Photo 数据集上的公开结果作为参照，定位当前方法在 Photo 上的真实差距。</w:t>
      </w:r>
    </w:p>
    <w:p>
      <w:pPr>
        <w:spacing w:after="80" w:before="0"/>
        <w:jc w:val="left"/>
      </w:pPr>
      <w:r>
        <w:rPr>
          <w:rFonts w:eastAsia="宋体" w:ascii="宋体" w:hAnsi="宋体"/>
          <w:rFonts w:ascii="宋体" w:hAnsi="宋体"/>
          <w:b/>
          <w:sz w:val="24"/>
        </w:rPr>
        <w:t>4. 保守性改进思路的初步探索</w:t>
      </w:r>
    </w:p>
    <w:p>
      <w:pPr>
        <w:spacing w:after="80" w:before="0"/>
        <w:jc w:val="left"/>
      </w:pPr>
      <w:r>
        <w:rPr>
          <w:rFonts w:eastAsia="宋体" w:ascii="宋体" w:hAnsi="宋体"/>
          <w:rFonts w:ascii="宋体" w:hAnsi="宋体"/>
          <w:sz w:val="24"/>
        </w:rPr>
        <w:t>在排查的同时，本周也初步探索了若干保守性改进方向，优先选择对现有框架侵入小、实现代价低的方案：</w:t>
      </w:r>
    </w:p>
    <w:p>
      <w:pPr>
        <w:spacing w:after="8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（a）粒球初始化策略优化：将 K-Means++ 替代随机初始化，提升不同数据集上粒球划分的一致性，减少对随机种子的依赖；</w:t>
      </w:r>
    </w:p>
    <w:p>
      <w:pPr>
        <w:spacing w:after="8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（b）Ball Diffusion 步数的自适应调整：引入基于图密度的自适应策略，在稀疏图（Photo）上适当增加扩散步数，在稠密图上减少步数；</w:t>
      </w:r>
    </w:p>
    <w:p>
      <w:pPr>
        <w:spacing w:after="8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（c）损失权重动态调整：在线性组合 L = α·L_BYOL + β·L_Ball + γ·L_Scatter 的基础上，将 β（粒球损失权重）设为与当前粒球纯度相关的动态系数，使模型在粒球划分清晰时增强 L_Ball 的约束。</w:t>
      </w:r>
    </w:p>
    <w:p>
      <w:pPr>
        <w:spacing w:after="16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以上改进均属于保守型改动，不改变整体框架结构，计划在下周通过实验验证其有效性后，再决定是否纳入最终方案。</w:t>
      </w:r>
    </w:p>
    <w:p>
      <w:pPr>
        <w:spacing w:after="160" w:before="120"/>
        <w:jc w:val="left"/>
      </w:pPr>
      <w:r>
        <w:rPr>
          <w:rFonts w:eastAsia="微软雅黑" w:ascii="宋体" w:hAnsi="宋体"/>
          <w:rFonts w:ascii="宋体" w:hAnsi="宋体"/>
          <w:b/>
          <w:color w:val="2E75B6"/>
          <w:sz w:val="28"/>
        </w:rPr>
        <w:t>二、下周工作计划</w:t>
      </w:r>
    </w:p>
    <w:p>
      <w:pPr>
        <w:spacing w:after="80" w:before="0"/>
        <w:jc w:val="left"/>
      </w:pPr>
      <w:r>
        <w:rPr>
          <w:rFonts w:eastAsia="宋体" w:ascii="宋体" w:hAnsi="宋体"/>
          <w:rFonts w:ascii="宋体" w:hAnsi="宋体"/>
          <w:b/>
          <w:sz w:val="24"/>
        </w:rPr>
        <w:t>1. 执行对照实验，完成分化原因定位</w:t>
      </w:r>
    </w:p>
    <w:p>
      <w:pPr>
        <w:spacing w:after="16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按计划逐步执行上周设计的对照实验（a）（b）（c），重点关注 Physics 数据集的方差来源和 Photo 数据集与主流方法的差距大小。目标是在本周内形成一份实验结果汇总，明确各数据集表现分化的具体原因，为后续改进提供依据。</w:t>
      </w:r>
    </w:p>
    <w:p>
      <w:pPr>
        <w:spacing w:after="80" w:before="0"/>
        <w:jc w:val="left"/>
      </w:pPr>
      <w:r>
        <w:rPr>
          <w:rFonts w:eastAsia="宋体" w:ascii="宋体" w:hAnsi="宋体"/>
          <w:rFonts w:ascii="宋体" w:hAnsi="宋体"/>
          <w:b/>
          <w:sz w:val="24"/>
        </w:rPr>
        <w:t>2. 验证保守性改进方案的效果</w:t>
      </w:r>
    </w:p>
    <w:p>
      <w:pPr>
        <w:spacing w:after="16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基于本周提出的三个保守改进思路（K-Means++ 初始化、自适应扩散步数、动态损失权重），在 CS 和 Physics 两个数据集上分别验证其效果。重点关注：Physics 方差是否缩小、CS 精度是否维持或提升。若某项改进效果不显著则及时舍弃，避免框架复杂度的无谱增加。</w:t>
      </w:r>
    </w:p>
    <w:p>
      <w:pPr>
        <w:spacing w:after="80" w:before="0"/>
        <w:jc w:val="left"/>
      </w:pPr>
      <w:r>
        <w:rPr>
          <w:rFonts w:eastAsia="宋体" w:ascii="宋体" w:hAnsi="宋体"/>
          <w:rFonts w:ascii="宋体" w:hAnsi="宋体"/>
          <w:b/>
          <w:sz w:val="24"/>
        </w:rPr>
        <w:t>3. 完善论文 Method 章节图表</w:t>
      </w:r>
    </w:p>
    <w:p>
      <w:pPr>
        <w:spacing w:after="160" w:before="0"/>
        <w:ind w:firstLine="432"/>
        <w:jc w:val="left"/>
      </w:pPr>
      <w:r>
        <w:rPr>
          <w:rFonts w:eastAsia="宋体" w:ascii="宋体" w:hAnsi="宋体"/>
          <w:rFonts w:ascii="宋体" w:hAnsi="宋体"/>
          <w:sz w:val="24"/>
        </w:rPr>
        <w:t>结合本周的实验发现，补充 GBGCL 框架图中关于 Granular Ball Module 的细节说明；在论文附录中补充 Physics 数据集的多种子实验结果表，说明精度方差的来源。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