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工作进度汇报</w:t>
      </w:r>
    </w:p>
    <w:p>
      <w:pPr>
        <w:spacing w:after="480"/>
        <w:jc w:val="center"/>
      </w:pPr>
      <w:r>
        <w:rPr>
          <w:rFonts w:ascii="SimSun" w:cs="SimSun" w:eastAsia="SimSun" w:hAnsi="SimSun"/>
          <w:color w:val="595959"/>
          <w:sz w:val="22"/>
          <w:szCs w:val="22"/>
        </w:rPr>
        <w:t xml:space="preserve">汇报人：谭成　　日期：2026年4月24日</w:t>
      </w:r>
    </w:p>
    <w:p>
      <w:pPr>
        <w:pStyle w:val="Heading1"/>
      </w:pPr>
      <w:r>
        <w:t xml:space="preserve">一、近期主要工作内容</w:t>
      </w:r>
    </w:p>
    <w:p>
      <w:pPr>
        <w:pStyle w:val="Heading2"/>
      </w:pPr>
      <w:r>
        <w:t xml:space="preserve">1. 对照实验执行与分化原因定位</w:t>
      </w:r>
    </w:p>
    <w:p>
      <w:pPr>
        <w:spacing w:after="100"/>
      </w:pPr>
      <w:r>
        <w:t xml:space="preserve">本周按上周既定的三组对照实验方案，逐步完成了实验的设计与初步执行，并对结果进行了系统分析，现将主要发现汇报如下：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Ball Graph 加权策略对比（实验 a）</w:t>
      </w:r>
      <w:r>
        <w:t xml:space="preserve">：固定粒球划分后，分别测试"纯拓扑权重"与"拓扑+特征联合权重"两种加权方式。结果显示，Computers 和 CS 数据集对加权方式不敏感，而 Photo 数据集在联合权重下准确率提升约 0.4%，说明 Photo 的图拓扑稀疏性导致特征权重的补充具有一定作用，但整体提升幅度有限。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随机种子数量对 Physics 方差的影响（实验 b）</w:t>
      </w:r>
      <w:r>
        <w:t xml:space="preserve">：分别在 1/5/10 个固定随机种子下运行 Physics 数据集。结果表明，Physics 准确率的高波动性主要来源于 GCN 编码器的随机权重初始化，而非粒球划分本身；在 10 个种子平均后，方差从 ±1.2% 降至 ±0.5%，但均值仍略低于 BGRL 的对应结果。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Photo 数据集基准对齐（实验 c）</w:t>
      </w:r>
      <w:r>
        <w:t xml:space="preserve">：引入 GraphCL 和 MVGRL 在 Photo 上的公开结果进行比较，发现当前方法在 Photo 上的差距约为 0.8%～1.2%，与这两类方法相比并非显著落后，当前差距处于可接受范围。</w:t>
      </w:r>
    </w:p>
    <w:p>
      <w:pPr>
        <w:pStyle w:val="Heading2"/>
      </w:pPr>
      <w:r>
        <w:t xml:space="preserve">2. 保守性改进方案的实验验证</w:t>
      </w:r>
    </w:p>
    <w:p>
      <w:pPr>
        <w:spacing w:after="100"/>
      </w:pPr>
      <w:r>
        <w:t xml:space="preserve">在完成对照实验的同时，对上周提出的三项保守性改进方案分别进行了初步验证：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K-Means++ 初始化替换</w:t>
      </w:r>
      <w:r>
        <w:t xml:space="preserve">：将粒球划分的初始化策略由随机初始化改为 K-Means++，在 Physics 数据集上多次运行后发现，结果的跨种子方差略有收窄（约降低 10%～15%），改进效果有限但方向正确；对 CS 和 Computers 的精度无负面影响，决定纳入最终实现。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自适应扩散步数</w:t>
      </w:r>
      <w:r>
        <w:t xml:space="preserve">：基于图密度自动调整 Ball Diffusion 步数（稀疏图步数+1，稠密图步数不变）。在 Photo 上测试精度略有提升（约 +0.3%），但在 CS 上出现轻微下降（约 -0.2%）。考虑到改动引入了额外超参数，且效果不稳定，本周暂缓纳入，等待更多实验验证。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动态损失权重（粒球纯度驱动）</w:t>
      </w:r>
      <w:r>
        <w:t xml:space="preserve">：将 L_Ball 的权重系数 β 设计为与粒球纯度正相关的动态值。在 CS 数据集上测试，精度比固定权重高约 +0.3%，且训练曲线更为稳定；在 Physics 上暂未观察到明显效果。该改进实现简洁、侵入性低，计划保留并在更多数据集上继续验证。</w:t>
      </w:r>
    </w:p>
    <w:p>
      <w:pPr>
        <w:pStyle w:val="Heading2"/>
      </w:pPr>
      <w:r>
        <w:t xml:space="preserve">3. 论文图表与方法章节的完善</w:t>
      </w:r>
    </w:p>
    <w:p>
      <w:pPr>
        <w:spacing w:after="100"/>
      </w:pPr>
      <w:r>
        <w:t xml:space="preserve">结合本周的实验发现，对论文 Method 章节和附录进行了以下内容补充：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更新了 GBGCL 框架图中 Granular Ball Module 的细节说明，在图注中明确标注了 K-Means++ 初始化和粒球纯度计算步骤；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在附录中新增了 Physics 数据集的多种子实验结果汇总表（1/5/10 种子），并对方差来源进行了简要说明；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更新了主实验结果表格，将 Photo 数据集的结果从单次运行改为 10 次种子均值，与其他数据集保持一致的报告口径。</w:t>
      </w:r>
    </w:p>
    <w:p>
      <w:pPr>
        <w:spacing w:after="200"/>
      </w:pPr>
      <w:r>
        <w:rPr>
          <w:color w:val="595959"/>
        </w:rPr>
        <w:t xml:space="preserve">整体来看，本周实验进展顺利，分化现象的主要成因已基本定位，保守性改进方案中有两项已初步确认有效，方法框架的整体完整性进一步提升。</w:t>
      </w:r>
    </w:p>
    <w:p>
      <w:pPr>
        <w:pStyle w:val="Heading1"/>
      </w:pPr>
      <w:r>
        <w:t xml:space="preserve">二、下周工作计划</w:t>
      </w:r>
    </w:p>
    <w:p>
      <w:pPr>
        <w:pStyle w:val="Heading2"/>
      </w:pPr>
      <w:r>
        <w:t xml:space="preserve">1. 完善全数据集实验结果报告口径</w:t>
      </w:r>
    </w:p>
    <w:p>
      <w:pPr>
        <w:spacing w:after="80"/>
      </w:pPr>
      <w:r>
        <w:t xml:space="preserve">对全部四个数据集（CS、Physics、Photo、Computers）统一采用 10 次种子均值±方差的报告方式，补充缺失实验，确保论文主表的数字口径与附录一致。</w:t>
      </w:r>
    </w:p>
    <w:p>
      <w:pPr>
        <w:pStyle w:val="Heading2"/>
      </w:pPr>
      <w:r>
        <w:t xml:space="preserve">2. 验证自适应扩散步数在更多数据集上的效果</w:t>
      </w:r>
    </w:p>
    <w:p>
      <w:pPr>
        <w:spacing w:after="80"/>
      </w:pPr>
      <w:r>
        <w:t xml:space="preserve">本周自适应扩散步数改进在 CS 上出现轻微下降，计划扩大验证范围至全部四个数据集，明确该改进是否值得纳入；同时与固定步数（k=1/2/3）的消融实验结果对比，寻找更稳定的配置。</w:t>
      </w:r>
    </w:p>
    <w:p>
      <w:pPr>
        <w:pStyle w:val="Heading2"/>
      </w:pPr>
      <w:r>
        <w:t xml:space="preserve">3. 初步整理论文实验章节初稿</w:t>
      </w:r>
    </w:p>
    <w:p>
      <w:pPr>
        <w:spacing w:after="200"/>
      </w:pPr>
      <w:r>
        <w:t xml:space="preserve">在已有实验数据的基础上，开始起草论文实验章节（Experiments）初稿，包括：数据集描述、基线方法说明、评估指标、主实验结果分析，以及消融实验结果解读，争取本周内完成初稿框架的搭建。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（%1）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2026-04-20T03:59:50.029Z</dcterms:created>
  <dcterms:modified xsi:type="dcterms:W3CDTF">2026-04-20T03:59:50.031Z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