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0370787b-3e70-4e08-bdcf-ca6591ae845a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工作进度汇报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8d90dba-ec92-46aa-87d5-ac33145dca34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汇报人：谭成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/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3f4478a-d507-4c14-ba61-0faa281aec9c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日期：2026年4月3日</w:t>
      </w:r>
      <w:bookmarkEnd w:id="100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cdad0afe-52ce-4c2a-b7e0-b2e20fb83d37" w:id="1004"/>
      <w:r>
        <w:rPr>
          <w:rFonts w:ascii="黑体" w:hAnsi="黑体" w:cs="黑体" w:eastAsia="黑体"/>
          <w:sz w:val="36"/>
          <w:spacing w:val="0"/>
          <w:b w:val="on"/>
          <w:i w:val="off"/>
        </w:rPr>
        <w:t>一、近期主要工作内容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5976e19-1aac-4273-bd8d-7b175f0f1c68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1. 粒球构建的采样加速策略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3823128-35cf-45e0-96c7-13ae93b24907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针对上周提到的因特征相似度计算导致训练时间过长的问题，这周我没有直接修改模型结构，而是引入了一种简单的**"邻域采样"策略**。之前的全连接计算确实太耗时，这周我尝试在构建粒球时，只对每个节点的Top-K个最近邻进行特征比对，而不是和所有节点比对。虽然这只是一个工程层面的近似处理，但实验证明效果很好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训练速度明显回升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，恢复到了和基线模型差不多的水平，而且并没有明显牺牲粒球的语义纯度。这算是解决了一个落地的工程瓶颈。</w:t>
      </w:r>
      <w:bookmarkEnd w:id="1006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97e77308-6732-4a98-b65a-af12463e8c73" w:id="1007"/>
      <w:r>
        <w:rPr>
          <w:rFonts w:ascii="黑体" w:hAnsi="黑体" w:cs="黑体" w:eastAsia="黑体"/>
          <w:sz w:val="34"/>
          <w:spacing w:val="0"/>
          <w:b w:val="on"/>
          <w:i w:val="off"/>
        </w:rPr>
        <w:t>2. 扩散门控机制的参数自适应调整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8988acc-7d27-47dc-ac5b-ed1fc67b337d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关于上周提到的"简单过滤不够完美"的问题，这周我对扩散机制里的那个"门控"系数做了一点微调。之前那个衰减因子是手动设的一个固定值，这周我把它改成了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基于梯度的自适应参数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。也就是说，模型在训练过程中可以根据当前的损失情况，自己动态调节这个"过滤网"的松紧程度。</w:t>
      </w:r>
      <w:bookmarkEnd w:id="100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cd13996-6d87-4bbc-bde9-5558e61cf731" w:id="1009"/>
      <w:r>
        <w:rPr>
          <w:rFonts w:ascii="黑体" w:hAnsi="黑体" w:cs="黑体" w:eastAsia="黑体"/>
          <w:sz w:val="34"/>
          <w:spacing w:val="0"/>
          <w:b w:val="on"/>
          <w:i w:val="off"/>
        </w:rPr>
        <w:t>3. 实验验证与阶段性结论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786fe1e-e39f-4da2-aefc-3ed9f9dc8b0b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这周主要跑了一下这两个改动的消融实验。结果显示，引入采样后速度确实提上来了，准确率只掉了不到0.5%，可以忽略不计；而加上自适应门控后，在高噪声数据上的表现比固定阈值稍微稳了一点点。目前的模型算是进入了一个比较平稳的状态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既有了一定的抗噪能力，速度也还能接受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。不过我也发现，那个自适应参数有时候会震荡，下周可考虑给它加个限制。</w:t>
      </w:r>
      <w:bookmarkEnd w:id="1010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2457576-4dc8-4e18-88b6-c97703bee183" w:id="1011"/>
      <w:r>
        <w:rPr>
          <w:rFonts w:ascii="黑体" w:hAnsi="黑体" w:cs="黑体" w:eastAsia="黑体"/>
          <w:sz w:val="36"/>
          <w:spacing w:val="0"/>
          <w:b w:val="on"/>
          <w:i w:val="off"/>
        </w:rPr>
        <w:t>二、下周工作计划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2cae8ed-4996-4441-a806-34aa16b726b8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1. 完善消融实验与对比实验</w:t>
      </w:r>
      <w:bookmarkEnd w:id="101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虽然速度问题解决了，但还需要把完整的消融实验跑一遍，确认采样策略和自适应参数各自的具体贡献</w:t>
      </w:r>
      <w:bookmarkEnd w:id="101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继续推进与主流方法（GraphCL, BGRL）的对比，重点观察在不同噪声比例下的性能曲线</w:t>
      </w:r>
      <w:bookmarkEnd w:id="1014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f057db94-9c98-45bb-ac80-bcf59dba206b" w:id="1015"/>
      <w:r>
        <w:rPr>
          <w:rFonts w:ascii="黑体" w:hAnsi="黑体" w:cs="黑体" w:eastAsia="黑体"/>
          <w:sz w:val="34"/>
          <w:spacing w:val="0"/>
          <w:b w:val="on"/>
          <w:i w:val="off"/>
        </w:rPr>
        <w:t>2. 撰写论文方法论章节</w:t>
      </w:r>
      <w:bookmarkEnd w:id="1015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微调了核心模块，可以开始撰写论文的Method部分，把粒球构建和扩散机制的公式定下来</w:t>
      </w:r>
      <w:bookmarkEnd w:id="1016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d578e011-3553-437a-83ca-a098da86f766" w:id="1017"/>
      <w:r>
        <w:rPr>
          <w:rFonts w:ascii="黑体" w:hAnsi="黑体" w:cs="黑体" w:eastAsia="黑体"/>
          <w:sz w:val="34"/>
          <w:spacing w:val="0"/>
          <w:b w:val="on"/>
          <w:i w:val="off"/>
        </w:rPr>
        <w:t>3. 探索可视化展示</w:t>
      </w:r>
      <w:bookmarkEnd w:id="1017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尝试画出带有门控权重的图结构示意图，用于论文中的定性分析展示</w:t>
      </w:r>
      <w:bookmarkEnd w:id="101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57debb6-f8ae-49c6-9ea2-88f171fe9c3c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/>
      </w:r>
      <w:bookmarkEnd w:id="1019"/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2026-04-03T11:24:40Z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vgI46Tuw5mkxKs4XNAtfJDw86xOxZjl7jb31rSYKvo=","ProduceID":"doc_sgs:270d5af3-58bb-4aa0-87d2-4e7872ac7e1c","ReservedCode2":"svgI46Tuw5mkxKs4XNAtfJDw86xOxZjl7jb31rSYKvo=","PropagateID":"doc_sgs:270d5af3-58bb-4aa0-87d2-4e7872ac7e1c","ContentProducer":"001191440101MA9Y9T4H7A00000"}</vt:lpwstr>
  </property>
</Properties>
</file>