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EF9FC" w14:textId="77777777" w:rsidR="00C05F6D" w:rsidRDefault="000D22B3">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Nutritional Value Score rates foods based on global health priorities</w:t>
      </w:r>
    </w:p>
    <w:p w14:paraId="6E29318E" w14:textId="77777777" w:rsidR="00C05F6D" w:rsidRDefault="000D22B3">
      <w:pPr>
        <w:spacing w:line="480" w:lineRule="auto"/>
        <w:rPr>
          <w:rFonts w:ascii="Times New Roman" w:eastAsia="Times New Roman" w:hAnsi="Times New Roman" w:cs="Times New Roman"/>
          <w:b/>
          <w:vertAlign w:val="superscript"/>
        </w:rPr>
      </w:pPr>
      <w:r>
        <w:rPr>
          <w:rFonts w:ascii="Times New Roman" w:eastAsia="Times New Roman" w:hAnsi="Times New Roman" w:cs="Times New Roman"/>
          <w:b/>
        </w:rPr>
        <w:t>Ty Beal</w:t>
      </w:r>
      <w:r>
        <w:rPr>
          <w:rFonts w:ascii="Times New Roman" w:eastAsia="Times New Roman" w:hAnsi="Times New Roman" w:cs="Times New Roman"/>
          <w:b/>
          <w:vertAlign w:val="superscript"/>
        </w:rPr>
        <w:t>1</w:t>
      </w:r>
      <w:r>
        <w:rPr>
          <w:rFonts w:ascii="Times New Roman" w:eastAsia="Times New Roman" w:hAnsi="Times New Roman" w:cs="Times New Roman"/>
          <w:b/>
        </w:rPr>
        <w:t xml:space="preserve"> and Flaminia Ortenzi</w:t>
      </w:r>
      <w:r>
        <w:rPr>
          <w:rFonts w:ascii="Times New Roman" w:eastAsia="Times New Roman" w:hAnsi="Times New Roman" w:cs="Times New Roman"/>
          <w:b/>
          <w:vertAlign w:val="superscript"/>
        </w:rPr>
        <w:t>2</w:t>
      </w:r>
    </w:p>
    <w:p w14:paraId="3D5EFBEA" w14:textId="77777777"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vertAlign w:val="superscript"/>
        </w:rPr>
        <w:t>1</w:t>
      </w:r>
      <w:r>
        <w:rPr>
          <w:rFonts w:ascii="Times New Roman" w:eastAsia="Times New Roman" w:hAnsi="Times New Roman" w:cs="Times New Roman"/>
        </w:rPr>
        <w:t xml:space="preserve"> Corresponding author. Global Alliance for Improved </w:t>
      </w:r>
      <w:r w:rsidRPr="00D429F8">
        <w:rPr>
          <w:rFonts w:ascii="Times New Roman" w:eastAsia="Times New Roman" w:hAnsi="Times New Roman" w:cs="Times New Roman"/>
          <w:color w:val="000000" w:themeColor="text1"/>
        </w:rPr>
        <w:t xml:space="preserve">Nutrition (GAIN). 1201 Connecticut Ave NW, Suite 700B-2, Washington, DC 20036, USA. Email: </w:t>
      </w:r>
      <w:hyperlink r:id="rId8">
        <w:r w:rsidRPr="00D429F8">
          <w:rPr>
            <w:rFonts w:ascii="Times New Roman" w:eastAsia="Times New Roman" w:hAnsi="Times New Roman" w:cs="Times New Roman"/>
            <w:color w:val="000000" w:themeColor="text1"/>
          </w:rPr>
          <w:t>tbeal@gainhealth.org</w:t>
        </w:r>
      </w:hyperlink>
      <w:r w:rsidRPr="00D429F8">
        <w:rPr>
          <w:rFonts w:ascii="Times New Roman" w:eastAsia="Times New Roman" w:hAnsi="Times New Roman" w:cs="Times New Roman"/>
          <w:color w:val="000000" w:themeColor="text1"/>
        </w:rPr>
        <w:t>.</w:t>
      </w:r>
    </w:p>
    <w:p w14:paraId="7FF30610" w14:textId="77777777" w:rsidR="00C05F6D" w:rsidRPr="002D0ECF" w:rsidRDefault="000D22B3">
      <w:pPr>
        <w:spacing w:line="480" w:lineRule="auto"/>
        <w:rPr>
          <w:rFonts w:ascii="Times New Roman" w:eastAsia="Times New Roman" w:hAnsi="Times New Roman" w:cs="Times New Roman"/>
          <w:lang w:val="nl-NL"/>
        </w:rPr>
      </w:pPr>
      <w:r>
        <w:rPr>
          <w:rFonts w:ascii="Times New Roman" w:eastAsia="Times New Roman" w:hAnsi="Times New Roman" w:cs="Times New Roman"/>
          <w:vertAlign w:val="superscript"/>
        </w:rPr>
        <w:t>2</w:t>
      </w:r>
      <w:r>
        <w:rPr>
          <w:rFonts w:ascii="Times New Roman" w:eastAsia="Times New Roman" w:hAnsi="Times New Roman" w:cs="Times New Roman"/>
        </w:rPr>
        <w:t xml:space="preserve"> Global Alliance for Improved Nutrition (GAIN). </w:t>
      </w:r>
      <w:r w:rsidRPr="002D0ECF">
        <w:rPr>
          <w:rFonts w:ascii="Times New Roman" w:eastAsia="Times New Roman" w:hAnsi="Times New Roman" w:cs="Times New Roman"/>
          <w:lang w:val="nl-NL"/>
        </w:rPr>
        <w:t>Rue de Varembé 7, 1202 Genève, Switzerland</w:t>
      </w:r>
    </w:p>
    <w:p w14:paraId="293C8DA6" w14:textId="77777777" w:rsidR="00C05F6D" w:rsidRPr="002D0ECF" w:rsidRDefault="00C05F6D">
      <w:pPr>
        <w:spacing w:line="480" w:lineRule="auto"/>
        <w:rPr>
          <w:rFonts w:ascii="Times New Roman" w:eastAsia="Times New Roman" w:hAnsi="Times New Roman" w:cs="Times New Roman"/>
          <w:lang w:val="nl-NL"/>
        </w:rPr>
      </w:pPr>
    </w:p>
    <w:p w14:paraId="1312DA1F" w14:textId="0DAF8FC7" w:rsidR="00C05F6D" w:rsidRPr="002D0ECF" w:rsidRDefault="00F46B65">
      <w:pPr>
        <w:spacing w:line="480" w:lineRule="auto"/>
        <w:rPr>
          <w:rFonts w:ascii="Times New Roman" w:eastAsia="Times New Roman" w:hAnsi="Times New Roman" w:cs="Times New Roman"/>
          <w:b/>
          <w:sz w:val="28"/>
          <w:szCs w:val="28"/>
          <w:lang w:val="nl-NL"/>
        </w:rPr>
      </w:pPr>
      <w:r w:rsidRPr="002D0ECF">
        <w:rPr>
          <w:rFonts w:ascii="Times New Roman" w:eastAsia="Times New Roman" w:hAnsi="Times New Roman" w:cs="Times New Roman"/>
          <w:b/>
          <w:sz w:val="28"/>
          <w:szCs w:val="28"/>
          <w:lang w:val="nl-NL"/>
        </w:rPr>
        <w:t>Abstract</w:t>
      </w:r>
    </w:p>
    <w:p w14:paraId="0EF49E72" w14:textId="2298D740" w:rsidR="0064222E" w:rsidRDefault="000D22B3" w:rsidP="00C36AE8">
      <w:pPr>
        <w:spacing w:line="480" w:lineRule="auto"/>
        <w:rPr>
          <w:rFonts w:ascii="Times New Roman" w:eastAsia="Times New Roman" w:hAnsi="Times New Roman" w:cs="Times New Roman"/>
        </w:rPr>
      </w:pPr>
      <w:r>
        <w:rPr>
          <w:rFonts w:ascii="Times New Roman" w:eastAsia="Times New Roman" w:hAnsi="Times New Roman" w:cs="Times New Roman"/>
        </w:rPr>
        <w:t>Nutrient profiling systems</w:t>
      </w:r>
      <w:r w:rsidR="005B35A0">
        <w:rPr>
          <w:rFonts w:ascii="Times New Roman" w:eastAsia="Times New Roman" w:hAnsi="Times New Roman" w:cs="Times New Roman"/>
        </w:rPr>
        <w:t xml:space="preserve"> (NPS)</w:t>
      </w:r>
      <w:r>
        <w:rPr>
          <w:rFonts w:ascii="Times New Roman" w:eastAsia="Times New Roman" w:hAnsi="Times New Roman" w:cs="Times New Roman"/>
        </w:rPr>
        <w:t xml:space="preserve"> are used to rate foods by nutritional value using food composition data. </w:t>
      </w:r>
      <w:r w:rsidR="005B35A0">
        <w:rPr>
          <w:rFonts w:ascii="Times New Roman" w:eastAsia="Times New Roman" w:hAnsi="Times New Roman" w:cs="Times New Roman"/>
        </w:rPr>
        <w:t>NPS</w:t>
      </w:r>
      <w:r>
        <w:rPr>
          <w:rFonts w:ascii="Times New Roman" w:eastAsia="Times New Roman" w:hAnsi="Times New Roman" w:cs="Times New Roman"/>
        </w:rPr>
        <w:t xml:space="preserve"> ha</w:t>
      </w:r>
      <w:r w:rsidR="00031D40">
        <w:rPr>
          <w:rFonts w:ascii="Times New Roman" w:eastAsia="Times New Roman" w:hAnsi="Times New Roman" w:cs="Times New Roman"/>
        </w:rPr>
        <w:t>ve</w:t>
      </w:r>
      <w:r>
        <w:rPr>
          <w:rFonts w:ascii="Times New Roman" w:eastAsia="Times New Roman" w:hAnsi="Times New Roman" w:cs="Times New Roman"/>
        </w:rPr>
        <w:t xml:space="preserve"> different purposes and limitations. Existing systems have not adequately addressed </w:t>
      </w:r>
      <w:r w:rsidR="004A5302">
        <w:rPr>
          <w:rFonts w:ascii="Times New Roman" w:eastAsia="Times New Roman" w:hAnsi="Times New Roman" w:cs="Times New Roman"/>
        </w:rPr>
        <w:t>C</w:t>
      </w:r>
      <w:r w:rsidR="00C72143">
        <w:rPr>
          <w:rFonts w:ascii="Times New Roman" w:eastAsia="Times New Roman" w:hAnsi="Times New Roman" w:cs="Times New Roman"/>
        </w:rPr>
        <w:t xml:space="preserve">alorie and nutrient </w:t>
      </w:r>
      <w:r>
        <w:rPr>
          <w:rFonts w:ascii="Times New Roman" w:eastAsia="Times New Roman" w:hAnsi="Times New Roman" w:cs="Times New Roman"/>
        </w:rPr>
        <w:t xml:space="preserve">density and </w:t>
      </w:r>
      <w:r w:rsidR="00C72143">
        <w:rPr>
          <w:rFonts w:ascii="Times New Roman" w:eastAsia="Times New Roman" w:hAnsi="Times New Roman" w:cs="Times New Roman"/>
        </w:rPr>
        <w:t xml:space="preserve">nutrient </w:t>
      </w:r>
      <w:r>
        <w:rPr>
          <w:rFonts w:ascii="Times New Roman" w:eastAsia="Times New Roman" w:hAnsi="Times New Roman" w:cs="Times New Roman"/>
        </w:rPr>
        <w:t xml:space="preserve">bioavailability. Recent publications have also called for developing </w:t>
      </w:r>
      <w:r w:rsidR="005B35A0">
        <w:rPr>
          <w:rFonts w:ascii="Times New Roman" w:eastAsia="Times New Roman" w:hAnsi="Times New Roman" w:cs="Times New Roman"/>
        </w:rPr>
        <w:t>NPS</w:t>
      </w:r>
      <w:r>
        <w:rPr>
          <w:rFonts w:ascii="Times New Roman" w:eastAsia="Times New Roman" w:hAnsi="Times New Roman" w:cs="Times New Roman"/>
        </w:rPr>
        <w:t xml:space="preserve"> for global use</w:t>
      </w:r>
      <w:r w:rsidR="00DA4D13">
        <w:rPr>
          <w:rFonts w:ascii="Times New Roman" w:eastAsia="Times New Roman" w:hAnsi="Times New Roman" w:cs="Times New Roman"/>
          <w:vertAlign w:val="superscript"/>
        </w:rPr>
        <w:t xml:space="preserve"> </w:t>
      </w:r>
      <w:r>
        <w:rPr>
          <w:rFonts w:ascii="Times New Roman" w:eastAsia="Times New Roman" w:hAnsi="Times New Roman" w:cs="Times New Roman"/>
        </w:rPr>
        <w:t xml:space="preserve">and for assessing environmental impacts </w:t>
      </w:r>
      <w:r w:rsidR="005F5A03">
        <w:rPr>
          <w:rFonts w:ascii="Times New Roman" w:eastAsia="Times New Roman" w:hAnsi="Times New Roman" w:cs="Times New Roman"/>
        </w:rPr>
        <w:t xml:space="preserve">and affordability </w:t>
      </w:r>
      <w:r>
        <w:rPr>
          <w:rFonts w:ascii="Times New Roman" w:eastAsia="Times New Roman" w:hAnsi="Times New Roman" w:cs="Times New Roman"/>
        </w:rPr>
        <w:t xml:space="preserve">of foods. To address these needs, we developed the Nutritional Value Score (NVS), which is based on nutrients of </w:t>
      </w:r>
      <w:r w:rsidR="000A27B0">
        <w:rPr>
          <w:rFonts w:ascii="Times New Roman" w:eastAsia="Times New Roman" w:hAnsi="Times New Roman" w:cs="Times New Roman"/>
        </w:rPr>
        <w:t>global</w:t>
      </w:r>
      <w:r>
        <w:rPr>
          <w:rFonts w:ascii="Times New Roman" w:eastAsia="Times New Roman" w:hAnsi="Times New Roman" w:cs="Times New Roman"/>
        </w:rPr>
        <w:t xml:space="preserve"> health priority and nutrient ratios predictive of noncommunicable disease risk. The NVS adjusts for nutrient bioavailability and quantifies nutrient density in terms of Calories </w:t>
      </w:r>
      <w:r>
        <w:rPr>
          <w:rFonts w:ascii="Times New Roman" w:eastAsia="Times New Roman" w:hAnsi="Times New Roman" w:cs="Times New Roman"/>
          <w:i/>
        </w:rPr>
        <w:t>and</w:t>
      </w:r>
      <w:r>
        <w:rPr>
          <w:rFonts w:ascii="Times New Roman" w:eastAsia="Times New Roman" w:hAnsi="Times New Roman" w:cs="Times New Roman"/>
        </w:rPr>
        <w:t xml:space="preserve"> grams, to address limitations in existing systems. Using common foods from Indonesia and Bangladesh, the NVS effectively highlights nutritious items within recommended food groups. It also enables more nutritionally equivalent comparisons in environmental impact </w:t>
      </w:r>
      <w:r w:rsidR="004D14D8">
        <w:rPr>
          <w:rFonts w:ascii="Times New Roman" w:eastAsia="Times New Roman" w:hAnsi="Times New Roman" w:cs="Times New Roman"/>
        </w:rPr>
        <w:t xml:space="preserve">and affordability </w:t>
      </w:r>
      <w:r>
        <w:rPr>
          <w:rFonts w:ascii="Times New Roman" w:eastAsia="Times New Roman" w:hAnsi="Times New Roman" w:cs="Times New Roman"/>
        </w:rPr>
        <w:t xml:space="preserve">assessments. </w:t>
      </w:r>
      <w:r w:rsidR="00C36AE8">
        <w:rPr>
          <w:rFonts w:ascii="Times New Roman" w:eastAsia="Times New Roman" w:hAnsi="Times New Roman" w:cs="Times New Roman"/>
        </w:rPr>
        <w:t xml:space="preserve">Although further validation is needed, initial testing suggests the NVS is a flexible tool </w:t>
      </w:r>
      <w:r w:rsidR="00A76705">
        <w:rPr>
          <w:rFonts w:ascii="Times New Roman" w:eastAsia="Times New Roman" w:hAnsi="Times New Roman" w:cs="Times New Roman"/>
        </w:rPr>
        <w:t xml:space="preserve">that can be tailored </w:t>
      </w:r>
      <w:r w:rsidR="00C36AE8">
        <w:rPr>
          <w:rFonts w:ascii="Times New Roman" w:eastAsia="Times New Roman" w:hAnsi="Times New Roman" w:cs="Times New Roman"/>
        </w:rPr>
        <w:t>to identify healthy and sustainable foods</w:t>
      </w:r>
      <w:r w:rsidR="00A76705">
        <w:rPr>
          <w:rFonts w:ascii="Times New Roman" w:eastAsia="Times New Roman" w:hAnsi="Times New Roman" w:cs="Times New Roman"/>
        </w:rPr>
        <w:t xml:space="preserve"> in different contexts</w:t>
      </w:r>
      <w:r w:rsidR="00C36AE8">
        <w:rPr>
          <w:rFonts w:ascii="Times New Roman" w:eastAsia="Times New Roman" w:hAnsi="Times New Roman" w:cs="Times New Roman"/>
        </w:rPr>
        <w:t>.</w:t>
      </w:r>
      <w:r w:rsidR="0064222E">
        <w:rPr>
          <w:rFonts w:ascii="Times New Roman" w:eastAsia="Times New Roman" w:hAnsi="Times New Roman" w:cs="Times New Roman"/>
        </w:rPr>
        <w:br w:type="page"/>
      </w:r>
    </w:p>
    <w:p w14:paraId="1BE7B5AA" w14:textId="459E1520"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Nutrient profiling systems use food composition data to estimate nutritional value or healthfulness</w:t>
      </w:r>
      <w:r w:rsidR="00BD6B3A" w:rsidRPr="00F549CC">
        <w:rPr>
          <w:rFonts w:ascii="Times New Roman" w:hAnsi="Times New Roman" w:cs="Times New Roman"/>
        </w:rPr>
        <w:fldChar w:fldCharType="begin"/>
      </w:r>
      <w:r w:rsidR="00BD6B3A" w:rsidRPr="00F549CC">
        <w:rPr>
          <w:rFonts w:ascii="Times New Roman" w:hAnsi="Times New Roman" w:cs="Times New Roman"/>
        </w:rPr>
        <w:instrText xml:space="preserve"> ADDIN ZOTERO_ITEM CSL_CITATION {"citationID":"22GMRKxU","properties":{"formattedCitation":"\\super 1\\uc0\\u8211{}3\\nosupersub{}","plainCitation":"1–3","noteIndex":0},"citationItems":[{"id":4186,"uris":["http://zotero.org/users/2850877/items/26JN64VZ"],"itemData":{"id":4186,"type":"book","event-place":"Geneva, Switzerland","ISBN":"978-92-4-150220-7","language":"en","note":"Accepted: 2020-11-06T14:56:52Z","publisher":"World Health Organization","publisher-place":"Geneva, Switzerland","source":"iris.who.i</w:instrText>
      </w:r>
      <w:r w:rsidR="00BD6B3A" w:rsidRPr="00F549CC">
        <w:rPr>
          <w:rFonts w:ascii="Times New Roman" w:hAnsi="Times New Roman" w:cs="Times New Roman" w:hint="eastAsia"/>
        </w:rPr>
        <w:instrText>nt","title":"Nutrient profiling: report of a WHO/IASO technical meeting, London, United Kingdom 4</w:instrText>
      </w:r>
      <w:r w:rsidR="00BD6B3A" w:rsidRPr="00F549CC">
        <w:rPr>
          <w:rFonts w:ascii="Times New Roman" w:hAnsi="Times New Roman" w:cs="Times New Roman" w:hint="eastAsia"/>
        </w:rPr>
        <w:instrText>‐</w:instrText>
      </w:r>
      <w:r w:rsidR="00BD6B3A" w:rsidRPr="00F549CC">
        <w:rPr>
          <w:rFonts w:ascii="Times New Roman" w:hAnsi="Times New Roman" w:cs="Times New Roman" w:hint="eastAsia"/>
        </w:rPr>
        <w:instrText>6 October 2010","title-short":"Nutrient profiling","URL":"https://iris.who.int/handle/10665/336447","author":[{"literal":"World Health Organization"}],"acces</w:instrText>
      </w:r>
      <w:r w:rsidR="00BD6B3A" w:rsidRPr="00F549CC">
        <w:rPr>
          <w:rFonts w:ascii="Times New Roman" w:hAnsi="Times New Roman" w:cs="Times New Roman"/>
        </w:rPr>
        <w:instrText xml:space="preserve">sed":{"date-parts":[["2023",10,2]]},"issued":{"date-parts":[["2011"]]}}},{"id":3005,"uris":["http://zotero.org/users/2850877/items/6UBQ75H9"],"itemData":{"id":3005,"type":"article-journal","abstract":"Nutrient profiling (NP) models aim to assess the nutritional quality of individual foods, according to their energy content and nutrient composition. NP models, initially created to prevent obesity in high-income countries, have tended to penalize dietary energy by giving lower ratings to foods containing excessive calories, fat, sugar, and salt. Energy-driven NP models may need to be reconceptualized for use in low- and middle-income countries (LMIC) where hunger, undernutrition, and micronutrient deficiencies continue to be issues of public health concern. Consistent with the position of the WHO that the purpose of NP methods is to address an identified public health problem, NP models intended for use in LMIC ought to address inadequate intakes of vitamin A, B vitamins, folate, calcium, iron, iodine, and zinc and the frequent lack of high-quality protein. Those models of nutrient density that feature beneficial nutrients (high-quality protein, vitamins, minerals, and trace elements) may be better suited to LMIC needs than are some current NP models that are wholly based around nutrients to limit. NP models intended for LMIC and global use will also need to take food fortification into account. The challenge for LMIC public health agencies is how to balance the future risk of excess “empty” calories against the continuing danger of inadequate nutrients and micronutrient deficiencies that persist at the population level.","container-title":"Advances in Nutrition","DOI":"10.1093/advances/nmab018","ISSN":"2161-8313","issue":"3","journalAbbreviation":"Advances in Nutrition","page":"609-620","source":"Silverchair","title":"Perspective: How to Develop Nutrient Profiling Models Intended for Global Use: A Manual","title-short":"Perspective","volume":"12","author":[{"family":"Drewnowski","given":"Adam"},{"family":"Amanquah","given":"Daniel"},{"family":"Gavin-Smith","given":"Breda"}],"issued":{"date-parts":[["2021",5,1]]}}},{"id":3101,"uris":["http://zotero.org/users/2850877/items/YY2LRKJT"],"itemData":{"id":3101,"type":"article-journal","abstract":"Nutrient profiling systems (NPS) aim to discriminate the healthfulness of foods for front-of-package labelling, warning labels, taxation, company ratings and more. Existing NPS often assess relatively few nutrients and ingredients, use inconsistent criteria across food categories and have not incorporated the newest science. Here, we developed and validated an NPS, the Food Compass, to incorporate a broader range of food characteristics, attributes and uniform scoring principles. We scored 54 attributes across 9 health-relevant domains: nutrient ratios, vitamins, minerals, food ingredients, additives, processing, specific lipids, fibre and protein, and phytochemicals. The domain scores were summed into a final Food Compass Score (FCS) ranging from 1 (least healthy) to 100 (most healthy) for all foods and beverages. Content validity was confirmed by assessing nutrients, food ingredients and other characteristics of public health concern; face validity was confirmed by assessing the FCS for 8,032 foods and beverages reported in NHANES/FNDDS 2015–16; and convergent and discriminant validity was confirmed from comparisons with the NOVA food processing classification, the Health Star Rating and the Nutri-Score. The FCS differentiated food categories and food items well, with mean ± s.d. ranging from 16.4 ± 17.7 for savoury snacks and sweet desserts to 78.6 ± 17.4 for legumes, nuts and seeds. In many food categories, the FCS provided important discrimination of specific foods and beverages as compared with NOVA, the Health Star Rating or the Nutri-Score. On the basis of demonstrated content, convergent and discriminant validity, the Food Compass provides an NPS scoring a broader range of attributes and domains than previous systems with uniform and transparent principles. This publicly available tool will help guide consumer choice, research, food policy, industry reformulations and mission-focused investment decisions.","container-title":"Nature Food","DOI":"10.1038/s43016-021-00381-y","ISSN":"2662-1355","issue":"10","journalAbbreviation":"Nat Food","language":"en","license":"2021 The Author(s), under exclusive licence to Springer Nature Limited","note":"Bandiera_abtest: a\nCg_type: Nature Research Journals\nnumber: 10\nPrimary_atype: Research\npublisher: Nature Publishing Group\nSubject_term: Business;Risk factors\nSubject_term_id: business;risk-factors","page":"809-818","source":"www.nature.com","title":"Food Compass is a nutrient profiling system using expanded characteristics for assessing healthfulness of foods","volume":"2","author":[{"family":"Mozaffarian","given":"Dariush"},{"family":"El-Abbadi","given":"Naglaa H."},{"family":"O’Hearn","given":"Meghan"},{"family":"Erndt-Marino","given":"Josh"},{"family":"Masters","given":"William A."},{"family":"Jacques","given":"Paul"},{"family":"Shi","given":"Peilin"},{"family":"Blumberg","given":"Jeffrey B."},{"family":"Micha","given":"Renata"}],"issued":{"date-parts":[["2021",10]]}}}],"schema":"https://github.com/citation-style-language/schema/raw/master/csl-citation.json"} </w:instrText>
      </w:r>
      <w:r w:rsidR="00BD6B3A" w:rsidRPr="00F549CC">
        <w:rPr>
          <w:rFonts w:ascii="Times New Roman" w:hAnsi="Times New Roman" w:cs="Times New Roman"/>
        </w:rPr>
        <w:fldChar w:fldCharType="separate"/>
      </w:r>
      <w:r w:rsidR="00BD6B3A" w:rsidRPr="00F549CC">
        <w:rPr>
          <w:rFonts w:ascii="Times New Roman" w:hAnsi="Times New Roman" w:cs="Times New Roman"/>
          <w:kern w:val="0"/>
          <w:vertAlign w:val="superscript"/>
        </w:rPr>
        <w:t>1–3</w:t>
      </w:r>
      <w:r w:rsidR="00BD6B3A" w:rsidRPr="00F549CC">
        <w:rPr>
          <w:rFonts w:ascii="Times New Roman" w:hAnsi="Times New Roman" w:cs="Times New Roman"/>
        </w:rPr>
        <w:fldChar w:fldCharType="end"/>
      </w:r>
      <w:r>
        <w:rPr>
          <w:rFonts w:ascii="Times New Roman" w:eastAsia="Times New Roman" w:hAnsi="Times New Roman" w:cs="Times New Roman"/>
        </w:rPr>
        <w:t>. They are typically used to guide consumer choice, food policy, industry formulations, and investments. Popular implementations of nutrient profiling systems, including Nutri-Score in the European Union and Health Star</w:t>
      </w:r>
      <w:r w:rsidR="00342190">
        <w:rPr>
          <w:rFonts w:ascii="Times New Roman" w:eastAsia="Times New Roman" w:hAnsi="Times New Roman" w:cs="Times New Roman"/>
        </w:rPr>
        <w:t xml:space="preserve"> Rating</w:t>
      </w:r>
      <w:r>
        <w:rPr>
          <w:rFonts w:ascii="Times New Roman" w:eastAsia="Times New Roman" w:hAnsi="Times New Roman" w:cs="Times New Roman"/>
        </w:rPr>
        <w:t xml:space="preserve"> in Australia and New Zealand, were developed </w:t>
      </w:r>
      <w:r w:rsidR="00484B96">
        <w:rPr>
          <w:rFonts w:ascii="Times New Roman" w:eastAsia="Times New Roman" w:hAnsi="Times New Roman" w:cs="Times New Roman"/>
        </w:rPr>
        <w:t xml:space="preserve">for front-of-package labelling </w:t>
      </w:r>
      <w:r>
        <w:rPr>
          <w:rFonts w:ascii="Times New Roman" w:eastAsia="Times New Roman" w:hAnsi="Times New Roman" w:cs="Times New Roman"/>
        </w:rPr>
        <w:t xml:space="preserve">in high-income countries with </w:t>
      </w:r>
      <w:r w:rsidR="00AD47D8">
        <w:rPr>
          <w:rFonts w:ascii="Times New Roman" w:eastAsia="Times New Roman" w:hAnsi="Times New Roman" w:cs="Times New Roman"/>
        </w:rPr>
        <w:t>the primary objective to</w:t>
      </w:r>
      <w:r>
        <w:rPr>
          <w:rFonts w:ascii="Times New Roman" w:eastAsia="Times New Roman" w:hAnsi="Times New Roman" w:cs="Times New Roman"/>
        </w:rPr>
        <w:t xml:space="preserve"> </w:t>
      </w:r>
      <w:r w:rsidR="00EE5E98">
        <w:rPr>
          <w:rFonts w:ascii="Times New Roman" w:eastAsia="Times New Roman" w:hAnsi="Times New Roman" w:cs="Times New Roman"/>
        </w:rPr>
        <w:t xml:space="preserve">reduce </w:t>
      </w:r>
      <w:r>
        <w:rPr>
          <w:rFonts w:ascii="Times New Roman" w:eastAsia="Times New Roman" w:hAnsi="Times New Roman" w:cs="Times New Roman"/>
        </w:rPr>
        <w:t>noncommunicable disease risk</w:t>
      </w:r>
      <w:r w:rsidR="005501AE">
        <w:rPr>
          <w:rFonts w:ascii="Times New Roman" w:eastAsia="Times New Roman" w:hAnsi="Times New Roman" w:cs="Times New Roman"/>
        </w:rPr>
        <w:t xml:space="preserve">, </w:t>
      </w:r>
      <w:r w:rsidR="009A621B">
        <w:rPr>
          <w:rFonts w:ascii="Times New Roman" w:eastAsia="Times New Roman" w:hAnsi="Times New Roman" w:cs="Times New Roman"/>
        </w:rPr>
        <w:t>but they omit density in essential micronutrients</w:t>
      </w:r>
      <w:r>
        <w:rPr>
          <w:rFonts w:ascii="Times New Roman" w:eastAsia="Times New Roman" w:hAnsi="Times New Roman" w:cs="Times New Roman"/>
        </w:rPr>
        <w:t>. Others like Food Compass</w:t>
      </w:r>
      <w:r w:rsidR="00E54F91" w:rsidRPr="00F549CC">
        <w:rPr>
          <w:rFonts w:ascii="Times New Roman" w:hAnsi="Times New Roman" w:cs="Times New Roman"/>
        </w:rPr>
        <w:fldChar w:fldCharType="begin"/>
      </w:r>
      <w:r w:rsidR="00E54F91" w:rsidRPr="00F549CC">
        <w:rPr>
          <w:rFonts w:ascii="Times New Roman" w:hAnsi="Times New Roman" w:cs="Times New Roman"/>
        </w:rPr>
        <w:instrText xml:space="preserve"> ADDIN ZOTERO_ITEM CSL_CITATION {"citationID":"jpTysXer","properties":{"formattedCitation":"\\super 3\\nosupersub{}","plainCitation":"3","noteIndex":0},"citationItems":[{"id":3101,"uris":["http://zotero.org/users/2850877/items/YY2LRKJT"],"itemData":{"id":3101,"type":"article-journal","abstract":"Nutrient profiling systems (NPS) aim to discriminate the healthfulness of foods for front-of-package labelling, warning labels, taxation, company ratings and more. Existing NPS often assess relatively few nutrients and ingredients, use inconsistent criteria across food categories and have not incorporated the newest science. Here, we developed and validated an NPS, the Food Compass, to incorporate a broader range of food characteristics, attributes and uniform scoring principles. We scored 54 attributes across 9 health-relevant domains: nutrient ratios, vitamins, minerals, food ingredients, additives, processing, specific lipids, fibre and protein, and phytochemicals. The domain scores were summed into a final Food Compass Score (FCS) ranging from 1 (least healthy) to 100 (most healthy) for all foods and beverages. Content validity was confirmed by assessing nutrients, food ingredients and other characteristics of public health concern; face validity was confirmed by assessing the FCS for 8,032 foods and beverages reported in NHANES/FNDDS 2015–16; and convergent and discriminant validity was confirmed from comparisons with the NOVA food processing classification, the Health Star Rating and the Nutri-Score. The FCS differentiated food categories and food items well, with mean ± s.d. ranging from 16.4 ± 17.7 for savoury snacks and sweet desserts to 78.6 ± 17.4 for legumes, nuts and seeds. In many food categories, the FCS provided important discrimination of specific foods and beverages as compared with NOVA, the Health Star Rating or the Nutri-Score. On the basis of demonstrated content, convergent and discriminant validity, the Food Compass provides an NPS scoring a broader range of attributes and domains than previous systems with uniform and transparent principles. This publicly available tool will help guide consumer choice, research, food policy, industry reformulations and mission-focused investment decisions.","container-title":"Nature Food","DOI":"10.1038/s43016-021-00381-y","ISSN":"2662-1355","issue":"10","journalAbbreviation":"Nat Food","language":"en","license":"2021 The Author(s), under exclusive licence to Springer Nature Limited","note":"Bandiera_abtest: a\nCg_type: Nature Research Journals\nnumber: 10\nPrimary_atype: Research\npublisher: Nature Publishing Group\nSubject_term: Business;Risk factors\nSubject_term_id: business;risk-factors","page":"809-818","source":"www.nature.com","title":"Food Compass is a nutrient profiling system using expanded characteristics for assessing healthfulness of foods","volume":"2","author":[{"family":"Mozaffarian","given":"Dariush"},{"family":"El-Abbadi","given":"Naglaa H."},{"family":"O’Hearn","given":"Meghan"},{"family":"Erndt-Marino","given":"Josh"},{"family":"Masters","given":"William A."},{"family":"Jacques","given":"Paul"},{"family":"Shi","given":"Peilin"},{"family":"Blumberg","given":"Jeffrey B."},{"family":"Micha","given":"Renata"}],"issued":{"date-parts":[["2021",10]]}}}],"schema":"https://github.com/citation-style-language/schema/raw/master/csl-citation.json"} </w:instrText>
      </w:r>
      <w:r w:rsidR="00E54F91" w:rsidRPr="00F549CC">
        <w:rPr>
          <w:rFonts w:ascii="Times New Roman" w:hAnsi="Times New Roman" w:cs="Times New Roman"/>
        </w:rPr>
        <w:fldChar w:fldCharType="separate"/>
      </w:r>
      <w:r w:rsidR="00E54F91" w:rsidRPr="00F549CC">
        <w:rPr>
          <w:rFonts w:ascii="Times New Roman" w:hAnsi="Times New Roman" w:cs="Times New Roman"/>
          <w:kern w:val="0"/>
          <w:vertAlign w:val="superscript"/>
        </w:rPr>
        <w:t>3</w:t>
      </w:r>
      <w:r w:rsidR="00E54F91" w:rsidRPr="00F549CC">
        <w:rPr>
          <w:rFonts w:ascii="Times New Roman" w:hAnsi="Times New Roman" w:cs="Times New Roman"/>
        </w:rPr>
        <w:fldChar w:fldCharType="end"/>
      </w:r>
      <w:r>
        <w:rPr>
          <w:rFonts w:ascii="Times New Roman" w:eastAsia="Times New Roman" w:hAnsi="Times New Roman" w:cs="Times New Roman"/>
        </w:rPr>
        <w:t xml:space="preserve"> and the Nutrient Rich Foods index</w:t>
      </w:r>
      <w:r w:rsidR="00E54F91" w:rsidRPr="00F549CC">
        <w:rPr>
          <w:rFonts w:ascii="Times New Roman" w:hAnsi="Times New Roman" w:cs="Times New Roman"/>
        </w:rPr>
        <w:fldChar w:fldCharType="begin"/>
      </w:r>
      <w:r w:rsidR="00E54F91" w:rsidRPr="00F549CC">
        <w:rPr>
          <w:rFonts w:ascii="Times New Roman" w:hAnsi="Times New Roman" w:cs="Times New Roman"/>
        </w:rPr>
        <w:instrText xml:space="preserve"> ADDIN ZOTERO_ITEM CSL_CITATION {"citationID":"0EEyJQYZ","properties":{"formattedCitation":"\\super 4\\nosupersub{}","plainCitation":"4","noteIndex":0},"citationItems":[{"id":4150,"uris":["http://zotero.org/users/2850877/items/8HJ5CVC7"],"itemData":{"id":4150,"type":"article-journal","abstract":"Ranking and/or classifying foods based on their nutrient composition is known as nutrient profiling. Nutrition quality indices need to be tested and validated against quality of the total diet. A family of nutrient-rich foods (NRF) indices were validated against the Healthy Eating Index (HEI), an accepted measure of diet quality. All foods consumed by participants in NHANES 1999–2002 studies were scored using NRFn.3 (where n = 6–15) indices based on unweighted sums, means, and ratios of percent daily values (DV) for nutrients to encourage (n) and for nutrients to limit (LIM) (3). Individual food scores were calculated based on 100 kcal (418 kJ) and FDA serving sizes [reference amounts customarily consumed (RACC)]. Energy-weighted food-based scores per person were then regressed against HEI, adjusting for gender, age, and ethnicity. The measure of index performance was the percentage of variation in HEI (R2) explained by each NRF score. NRF indices based on both nutrients to encourage and LIM performed better than indices based on LIM only. Maximum variance in HEI was explained using 6 or 9 nutrients to encourage; index performance actually declined with the inclusion of additional vitamins and minerals. NRF indices based on 100 kcal (418 kJ) performed similarly to indices based on RACC. Algorithms based on sums or means of nutrient DV performed better than ratio-based scores. The NRF9.3 index, based on 9 nutrients to encourage and 3 LIM per RACC and per 100 kcal, explained the highest percentage of variation from HEI and could be readily expected to rank foods based on nutrient density.","container-title":"The Journal of Nutrition","DOI":"10.3945/jn.108.101360","ISSN":"0022-3166","issue":"8","journalAbbreviation":"The Journal of Nutrition","page":"1549-1554","source":"ScienceDirect","title":"Development and Validation of the Nutrient-Rich Foods Index: A Tool to Measure Nutritional Quality of Foods, ,","title-short":"Development and Validation of the Nutrient-Rich Foods Index","volume":"139","author":[{"family":"Fulgoni","given":"Victor L."},{"family":"Keast","given":"Debra R."},{"family":"Drewnowski","given":"Adam"}],"issued":{"date-parts":[["2009",8,1]]}}}],"schema":"https://github.com/citation-style-language/schema/raw/master/csl-citation.json"} </w:instrText>
      </w:r>
      <w:r w:rsidR="00E54F91" w:rsidRPr="00F549CC">
        <w:rPr>
          <w:rFonts w:ascii="Times New Roman" w:hAnsi="Times New Roman" w:cs="Times New Roman"/>
        </w:rPr>
        <w:fldChar w:fldCharType="separate"/>
      </w:r>
      <w:r w:rsidR="00E54F91" w:rsidRPr="00F549CC">
        <w:rPr>
          <w:rFonts w:ascii="Times New Roman" w:hAnsi="Times New Roman" w:cs="Times New Roman"/>
          <w:kern w:val="0"/>
          <w:vertAlign w:val="superscript"/>
        </w:rPr>
        <w:t>4</w:t>
      </w:r>
      <w:r w:rsidR="00E54F91" w:rsidRPr="00F549CC">
        <w:rPr>
          <w:rFonts w:ascii="Times New Roman" w:hAnsi="Times New Roman" w:cs="Times New Roman"/>
        </w:rPr>
        <w:fldChar w:fldCharType="end"/>
      </w:r>
      <w:r>
        <w:rPr>
          <w:rFonts w:ascii="Times New Roman" w:eastAsia="Times New Roman" w:hAnsi="Times New Roman" w:cs="Times New Roman"/>
        </w:rPr>
        <w:t xml:space="preserve"> have been developed using data from high-income countries but aim to better capture risk for noncommunicable diseases </w:t>
      </w:r>
      <w:r>
        <w:rPr>
          <w:rFonts w:ascii="Times New Roman" w:eastAsia="Times New Roman" w:hAnsi="Times New Roman" w:cs="Times New Roman"/>
          <w:i/>
        </w:rPr>
        <w:t>and</w:t>
      </w:r>
      <w:r>
        <w:rPr>
          <w:rFonts w:ascii="Times New Roman" w:eastAsia="Times New Roman" w:hAnsi="Times New Roman" w:cs="Times New Roman"/>
        </w:rPr>
        <w:t xml:space="preserve"> essential nutrient density. Each existing nutrient profiling system has strengths and limitations and is suitable for different purposes.</w:t>
      </w:r>
    </w:p>
    <w:p w14:paraId="2330EF82" w14:textId="77777777" w:rsidR="00C05F6D" w:rsidRDefault="00C05F6D">
      <w:pPr>
        <w:spacing w:line="480" w:lineRule="auto"/>
        <w:rPr>
          <w:rFonts w:ascii="Times New Roman" w:eastAsia="Times New Roman" w:hAnsi="Times New Roman" w:cs="Times New Roman"/>
        </w:rPr>
      </w:pPr>
    </w:p>
    <w:p w14:paraId="23C61639" w14:textId="0F928E4B" w:rsidR="00C05F6D" w:rsidRDefault="000D22B3" w:rsidP="00B51263">
      <w:pPr>
        <w:spacing w:line="480" w:lineRule="auto"/>
        <w:rPr>
          <w:rFonts w:ascii="Times New Roman" w:eastAsia="Times New Roman" w:hAnsi="Times New Roman" w:cs="Times New Roman"/>
        </w:rPr>
      </w:pPr>
      <w:r>
        <w:rPr>
          <w:rFonts w:ascii="Times New Roman" w:eastAsia="Times New Roman" w:hAnsi="Times New Roman" w:cs="Times New Roman"/>
        </w:rPr>
        <w:t>Food Compass</w:t>
      </w:r>
      <w:r w:rsidR="00AD5A54" w:rsidRPr="00F549CC">
        <w:rPr>
          <w:rFonts w:ascii="Times New Roman" w:hAnsi="Times New Roman" w:cs="Times New Roman"/>
        </w:rPr>
        <w:fldChar w:fldCharType="begin"/>
      </w:r>
      <w:r w:rsidR="007267F7">
        <w:rPr>
          <w:rFonts w:ascii="Times New Roman" w:hAnsi="Times New Roman" w:cs="Times New Roman"/>
        </w:rPr>
        <w:instrText xml:space="preserve"> ADDIN ZOTERO_ITEM CSL_CITATION {"citationID":"97ctACKa","properties":{"formattedCitation":"\\super 3\\nosupersub{}","plainCitation":"3","noteIndex":0},"citationItems":[{"id":3101,"uris":["http://zotero.org/users/2850877/items/YY2LRKJT"],"itemData":{"id":3101,"type":"article-journal","abstract":"Nutrient profiling systems (NPS) aim to discriminate the healthfulness of foods for front-of-package labelling, warning labels, taxation, company ratings and more. Existing NPS often assess relatively few nutrients and ingredients, use inconsistent criteria across food categories and have not incorporated the newest science. Here, we developed and validated an NPS, the Food Compass, to incorporate a broader range of food characteristics, attributes and uniform scoring principles. We scored 54 attributes across 9 health-relevant domains: nutrient ratios, vitamins, minerals, food ingredients, additives, processing, specific lipids, fibre and protein, and phytochemicals. The domain scores were summed into a final Food Compass Score (FCS) ranging from 1 (least healthy) to 100 (most healthy) for all foods and beverages. Content validity was confirmed by assessing nutrients, food ingredients and other characteristics of public health concern; face validity was confirmed by assessing the FCS for 8,032 foods and beverages reported in NHANES/FNDDS 2015–16; and convergent and discriminant validity was confirmed from comparisons with the NOVA food processing classification, the Health Star Rating and the Nutri-Score. The FCS differentiated food categories and food items well, with mean ± s.d. ranging from 16.4 ± 17.7 for savoury snacks and sweet desserts to 78.6 ± 17.4 for legumes, nuts and seeds. In many food categories, the FCS provided important discrimination of specific foods and beverages as compared with NOVA, the Health Star Rating or the Nutri-Score. On the basis of demonstrated content, convergent and discriminant validity, the Food Compass provides an NPS scoring a broader range of attributes and domains than previous systems with uniform and transparent principles. This publicly available tool will help guide consumer choice, research, food policy, industry reformulations and mission-focused investment decisions.","container-title":"Nature Food","DOI":"10.1038/s43016-021-00381-y","ISSN":"2662-1355","issue":"10","journalAbbreviation":"Nat Food","language":"en","license":"2021 The Author(s), under exclusive licence to Springer Nature Limited","note":"Bandiera_abtest: a\nCg_type: Nature Research Journals\nnumber: 10\nPrimary_atype: Research\npublisher: Nature Publishing Group\nSubject_term: Business;Risk factors\nSubject_term_id: business;risk-factors","page":"809-818","source":"www.nature.com","title":"Food Compass is a nutrient profiling system using expanded characteristics for assessing healthfulness of foods","volume":"2","author":[{"family":"Mozaffarian","given":"Dariush"},{"family":"El-Abbadi","given":"Naglaa H."},{"family":"O’Hearn","given":"Meghan"},{"family":"Erndt-Marino","given":"Josh"},{"family":"Masters","given":"William A."},{"family":"Jacques","given":"Paul"},{"family":"Shi","given":"Peilin"},{"family":"Blumberg","given":"Jeffrey B."},{"family":"Micha","given":"Renata"}],"issued":{"date-parts":[["2021",10]]}}}],"schema":"https://github.com/citation-style-language/schema/raw/master/csl-citation.json"} </w:instrText>
      </w:r>
      <w:r w:rsidR="00AD5A54" w:rsidRPr="00F549CC">
        <w:rPr>
          <w:rFonts w:ascii="Times New Roman" w:hAnsi="Times New Roman" w:cs="Times New Roman"/>
        </w:rPr>
        <w:fldChar w:fldCharType="separate"/>
      </w:r>
      <w:r w:rsidR="00AD5A54" w:rsidRPr="00F549CC">
        <w:rPr>
          <w:rFonts w:ascii="Times New Roman" w:hAnsi="Times New Roman" w:cs="Times New Roman"/>
          <w:kern w:val="0"/>
          <w:vertAlign w:val="superscript"/>
        </w:rPr>
        <w:t>3</w:t>
      </w:r>
      <w:r w:rsidR="00AD5A54" w:rsidRPr="00F549CC">
        <w:rPr>
          <w:rFonts w:ascii="Times New Roman" w:hAnsi="Times New Roman" w:cs="Times New Roman"/>
        </w:rPr>
        <w:fldChar w:fldCharType="end"/>
      </w:r>
      <w:r w:rsidR="00AD5A54">
        <w:rPr>
          <w:rFonts w:ascii="Times New Roman" w:eastAsia="Times New Roman" w:hAnsi="Times New Roman" w:cs="Times New Roman"/>
        </w:rPr>
        <w:t xml:space="preserve"> </w:t>
      </w:r>
      <w:r>
        <w:rPr>
          <w:rFonts w:ascii="Times New Roman" w:eastAsia="Times New Roman" w:hAnsi="Times New Roman" w:cs="Times New Roman"/>
        </w:rPr>
        <w:t>has notable strengths, including incorporating a wide range of dietary attributes reflective of healthfulness, like nutrient ratios, and validating against measures of diet quality, cardiovascular disease, and mortality</w:t>
      </w:r>
      <w:r w:rsidR="003B0261" w:rsidRPr="00F549CC">
        <w:rPr>
          <w:rFonts w:ascii="Times New Roman" w:hAnsi="Times New Roman" w:cs="Times New Roman"/>
        </w:rPr>
        <w:fldChar w:fldCharType="begin"/>
      </w:r>
      <w:r w:rsidR="007267F7">
        <w:rPr>
          <w:rFonts w:ascii="Times New Roman" w:hAnsi="Times New Roman" w:cs="Times New Roman"/>
        </w:rPr>
        <w:instrText xml:space="preserve"> ADDIN ZOTERO_ITEM CSL_CITATION {"citationID":"fDosH2sn","properties":{"formattedCitation":"\\super 5\\nosupersub{}","plainCitation":"5","noteIndex":0},"citationItems":[{"id":3980,"uris":["http://zotero.org/users/2850877/items/5NEBXGF3"],"itemData":{"id":3980,"type":"article-journal","abstract":"The Food Compass is a nutrient profiling system (NPS) to characterize the healthfulness of diverse foods, beverages and meals. In a nationally representative cohort of 47,999 U.S. adults, we validated a person’s individual Food Compass Score (i.FCS), ranging from 1 (least healthful) to 100 (most healthful) based on cumulative scores of items consumed, against: (a) the Healthy Eating Index (HEI) 2015; (b) clinical risk factors and health conditions; and (c) all-cause mortality. Nationally, the mean (SD) of i.FCS was 35.5 (10.9). i.FCS correlated highly with HEI-2015 (R = 0.81). After multivariable-adjustment, each one SD (10.9 point) higher i.FCS associated with more favorable BMI (−0.60 kg/m2 [−0.70,−0.51]), systolic blood pressure (−0.69 mmHg [−0.91,−0.48]), diastolic blood pressure (−0.49 mmHg [−0.66,−0.32]), LDL-C (−2.01 mg/dl [−2.63,−1.40]), HDL-C (1.65 mg/d [1.44,1.85]), HbA1c (−0.02% [−0.03,−0.01]), and fasting plasma glucose (−0.44 mg/dL [−0.74,−0.15]); lower prevalence of metabolic syndrome (OR = 0.85 [0.82,0.88]), CVD (0.92 [0.88,0.96]), cancer (0.95 [0.91,0.99]), and lung disease (0.92 [0.88,0.96]); and higher prevalence of optimal cardiometabolic health (1.24 [1.16,1.32]). i.FCS also associated with lower all-cause mortality (HR = 0.93 [0.89,0.96]). Findings were similar by age, sex, race/ethnicity, education, income, and BMI. These findings support validity of Food Compass as a tool to guide public health and private sector strategies to identify and encourage healthier eating.","container-title":"Nature Communications","DOI":"10.1038/s41467-022-34195-8","ISSN":"2041-1723","issue":"1","journalAbbreviation":"Nat Commun","language":"en","license":"2022 The Author(s)","note":"number: 1\npublisher: Nature Publishing Group","page":"7066","source":"www.nature.com","title":"Validation of Food Compass with a healthy diet, cardiometabolic health, and mortality among U.S. adults, 1999–2018","volume":"13","author":[{"family":"O’Hearn","given":"Meghan"},{"family":"Erndt-Marino","given":"Joshua"},{"family":"Gerber","given":"Suzannah"},{"family":"Lauren","given":"Brianna N."},{"family":"Economos","given":"Christina"},{"family":"Wong","given":"John B."},{"family":"Blumberg","given":"Jeffrey B."},{"family":"Mozaffarian","given":"Dariush"}],"issued":{"date-parts":[["2022",11,22]]}}}],"schema":"https://github.com/citation-style-language/schema/raw/master/csl-citation.json"} </w:instrText>
      </w:r>
      <w:r w:rsidR="003B0261" w:rsidRPr="00F549CC">
        <w:rPr>
          <w:rFonts w:ascii="Times New Roman" w:hAnsi="Times New Roman" w:cs="Times New Roman"/>
        </w:rPr>
        <w:fldChar w:fldCharType="separate"/>
      </w:r>
      <w:r w:rsidR="007267F7" w:rsidRPr="007267F7">
        <w:rPr>
          <w:rFonts w:ascii="Times New Roman" w:hAnsi="Times New Roman" w:cs="Times New Roman"/>
          <w:kern w:val="0"/>
          <w:vertAlign w:val="superscript"/>
        </w:rPr>
        <w:t>5</w:t>
      </w:r>
      <w:r w:rsidR="003B0261" w:rsidRPr="00F549CC">
        <w:rPr>
          <w:rFonts w:ascii="Times New Roman" w:hAnsi="Times New Roman" w:cs="Times New Roman"/>
        </w:rPr>
        <w:fldChar w:fldCharType="end"/>
      </w:r>
      <w:r>
        <w:rPr>
          <w:rFonts w:ascii="Times New Roman" w:eastAsia="Times New Roman" w:hAnsi="Times New Roman" w:cs="Times New Roman"/>
        </w:rPr>
        <w:t xml:space="preserve">. </w:t>
      </w:r>
      <w:r w:rsidR="009B0966">
        <w:rPr>
          <w:rFonts w:ascii="Times New Roman" w:eastAsia="Times New Roman" w:hAnsi="Times New Roman" w:cs="Times New Roman"/>
        </w:rPr>
        <w:t>The Nutrient Rich Foods index</w:t>
      </w:r>
      <w:r w:rsidR="009B0966" w:rsidRPr="00F549CC">
        <w:rPr>
          <w:rFonts w:ascii="Times New Roman" w:hAnsi="Times New Roman" w:cs="Times New Roman"/>
        </w:rPr>
        <w:fldChar w:fldCharType="begin"/>
      </w:r>
      <w:r w:rsidR="009B0966">
        <w:rPr>
          <w:rFonts w:ascii="Times New Roman" w:hAnsi="Times New Roman" w:cs="Times New Roman"/>
        </w:rPr>
        <w:instrText xml:space="preserve"> ADDIN ZOTERO_ITEM CSL_CITATION {"citationID":"RQM3rH50","properties":{"formattedCitation":"\\super 4\\nosupersub{}","plainCitation":"4","noteIndex":0},"citationItems":[{"id":4150,"uris":["http://zotero.org/users/2850877/items/8HJ5CVC7"],"itemData":{"id":4150,"type":"article-journal","abstract":"Ranking and/or classifying foods based on their nutrient composition is known as nutrient profiling. Nutrition quality indices need to be tested and validated against quality of the total diet. A family of nutrient-rich foods (NRF) indices were validated against the Healthy Eating Index (HEI), an accepted measure of diet quality. All foods consumed by participants in NHANES 1999–2002 studies were scored using NRFn.3 (where n = 6–15) indices based on unweighted sums, means, and ratios of percent daily values (DV) for nutrients to encourage (n) and for nutrients to limit (LIM) (3). Individual food scores were calculated based on 100 kcal (418 kJ) and FDA serving sizes [reference amounts customarily consumed (RACC)]. Energy-weighted food-based scores per person were then regressed against HEI, adjusting for gender, age, and ethnicity. The measure of index performance was the percentage of variation in HEI (R2) explained by each NRF score. NRF indices based on both nutrients to encourage and LIM performed better than indices based on LIM only. Maximum variance in HEI was explained using 6 or 9 nutrients to encourage; index performance actually declined with the inclusion of additional vitamins and minerals. NRF indices based on 100 kcal (418 kJ) performed similarly to indices based on RACC. Algorithms based on sums or means of nutrient DV performed better than ratio-based scores. The NRF9.3 index, based on 9 nutrients to encourage and 3 LIM per RACC and per 100 kcal, explained the highest percentage of variation from HEI and could be readily expected to rank foods based on nutrient density.","container-title":"The Journal of Nutrition","DOI":"10.3945/jn.108.101360","ISSN":"0022-3166","issue":"8","journalAbbreviation":"The Journal of Nutrition","page":"1549-1554","source":"ScienceDirect","title":"Development and Validation of the Nutrient-Rich Foods Index: A Tool to Measure Nutritional Quality of Foods, ,","title-short":"Development and Validation of the Nutrient-Rich Foods Index","volume":"139","author":[{"family":"Fulgoni","given":"Victor L."},{"family":"Keast","given":"Debra R."},{"family":"Drewnowski","given":"Adam"}],"issued":{"date-parts":[["2009",8,1]]}}}],"schema":"https://github.com/citation-style-language/schema/raw/master/csl-citation.json"} </w:instrText>
      </w:r>
      <w:r w:rsidR="009B0966" w:rsidRPr="00F549CC">
        <w:rPr>
          <w:rFonts w:ascii="Times New Roman" w:hAnsi="Times New Roman" w:cs="Times New Roman"/>
        </w:rPr>
        <w:fldChar w:fldCharType="separate"/>
      </w:r>
      <w:r w:rsidR="009B0966" w:rsidRPr="00F549CC">
        <w:rPr>
          <w:rFonts w:ascii="Times New Roman" w:hAnsi="Times New Roman" w:cs="Times New Roman"/>
          <w:kern w:val="0"/>
          <w:vertAlign w:val="superscript"/>
        </w:rPr>
        <w:t>4</w:t>
      </w:r>
      <w:r w:rsidR="009B0966" w:rsidRPr="00F549CC">
        <w:rPr>
          <w:rFonts w:ascii="Times New Roman" w:hAnsi="Times New Roman" w:cs="Times New Roman"/>
        </w:rPr>
        <w:fldChar w:fldCharType="end"/>
      </w:r>
      <w:r w:rsidR="009B0966">
        <w:rPr>
          <w:rFonts w:ascii="Times New Roman" w:eastAsia="Times New Roman" w:hAnsi="Times New Roman" w:cs="Times New Roman"/>
        </w:rPr>
        <w:t xml:space="preserve"> has </w:t>
      </w:r>
      <w:r w:rsidR="00E00610">
        <w:rPr>
          <w:rFonts w:ascii="Times New Roman" w:eastAsia="Times New Roman" w:hAnsi="Times New Roman" w:cs="Times New Roman"/>
        </w:rPr>
        <w:t xml:space="preserve">unique </w:t>
      </w:r>
      <w:r w:rsidR="009B0966">
        <w:rPr>
          <w:rFonts w:ascii="Times New Roman" w:eastAsia="Times New Roman" w:hAnsi="Times New Roman" w:cs="Times New Roman"/>
        </w:rPr>
        <w:t>strengths</w:t>
      </w:r>
      <w:r w:rsidR="00DC4622">
        <w:rPr>
          <w:rFonts w:ascii="Times New Roman" w:eastAsia="Times New Roman" w:hAnsi="Times New Roman" w:cs="Times New Roman"/>
        </w:rPr>
        <w:t>,</w:t>
      </w:r>
      <w:r w:rsidR="009B0966">
        <w:rPr>
          <w:rFonts w:ascii="Times New Roman" w:eastAsia="Times New Roman" w:hAnsi="Times New Roman" w:cs="Times New Roman"/>
        </w:rPr>
        <w:t xml:space="preserve"> like excluding nutrients without public health relevance</w:t>
      </w:r>
      <w:r w:rsidR="00E00610">
        <w:rPr>
          <w:rFonts w:ascii="Times New Roman" w:eastAsia="Times New Roman" w:hAnsi="Times New Roman" w:cs="Times New Roman"/>
        </w:rPr>
        <w:t xml:space="preserve"> and</w:t>
      </w:r>
      <w:r w:rsidR="009B0966">
        <w:rPr>
          <w:rFonts w:ascii="Times New Roman" w:eastAsia="Times New Roman" w:hAnsi="Times New Roman" w:cs="Times New Roman"/>
        </w:rPr>
        <w:t xml:space="preserve"> offering adaptations for different uses, </w:t>
      </w:r>
      <w:r w:rsidR="00E00610">
        <w:rPr>
          <w:rFonts w:ascii="Times New Roman" w:eastAsia="Times New Roman" w:hAnsi="Times New Roman" w:cs="Times New Roman"/>
        </w:rPr>
        <w:t>as well as</w:t>
      </w:r>
      <w:r w:rsidR="009B0966">
        <w:rPr>
          <w:rFonts w:ascii="Times New Roman" w:eastAsia="Times New Roman" w:hAnsi="Times New Roman" w:cs="Times New Roman"/>
        </w:rPr>
        <w:t xml:space="preserve"> validating against diet quality measures. </w:t>
      </w:r>
      <w:r w:rsidR="00664563">
        <w:rPr>
          <w:rFonts w:ascii="Times New Roman" w:eastAsia="Times New Roman" w:hAnsi="Times New Roman" w:cs="Times New Roman"/>
        </w:rPr>
        <w:t>However, b</w:t>
      </w:r>
      <w:r w:rsidR="009977AD">
        <w:rPr>
          <w:rFonts w:ascii="Times New Roman" w:eastAsia="Times New Roman" w:hAnsi="Times New Roman" w:cs="Times New Roman"/>
        </w:rPr>
        <w:t xml:space="preserve">oth Food Compass and </w:t>
      </w:r>
      <w:r w:rsidR="009E0C36">
        <w:rPr>
          <w:rFonts w:ascii="Times New Roman" w:eastAsia="Times New Roman" w:hAnsi="Times New Roman" w:cs="Times New Roman"/>
        </w:rPr>
        <w:t xml:space="preserve">the </w:t>
      </w:r>
      <w:r w:rsidR="009977AD">
        <w:rPr>
          <w:rFonts w:ascii="Times New Roman" w:eastAsia="Times New Roman" w:hAnsi="Times New Roman" w:cs="Times New Roman"/>
        </w:rPr>
        <w:t xml:space="preserve">Nutrient Rich Foods index </w:t>
      </w:r>
      <w:r>
        <w:rPr>
          <w:rFonts w:ascii="Times New Roman" w:eastAsia="Times New Roman" w:hAnsi="Times New Roman" w:cs="Times New Roman"/>
        </w:rPr>
        <w:t>only evaluate nutrient density per Calorie, which may underestimate the value of nutritious but energy-dense foods.</w:t>
      </w:r>
      <w:r w:rsidR="004051C5">
        <w:rPr>
          <w:rFonts w:ascii="Times New Roman" w:eastAsia="Times New Roman" w:hAnsi="Times New Roman" w:cs="Times New Roman"/>
        </w:rPr>
        <w:t xml:space="preserve"> Neither system accounts for differences in bioavailability of key nutrients like iron, zinc, and essential amino acids</w:t>
      </w:r>
      <w:r w:rsidR="004051C5" w:rsidRPr="00F549CC">
        <w:rPr>
          <w:rFonts w:ascii="Times New Roman" w:hAnsi="Times New Roman" w:cs="Times New Roman"/>
        </w:rPr>
        <w:fldChar w:fldCharType="begin"/>
      </w:r>
      <w:r w:rsidR="009C0D3D">
        <w:rPr>
          <w:rFonts w:ascii="Times New Roman" w:hAnsi="Times New Roman" w:cs="Times New Roman"/>
        </w:rPr>
        <w:instrText xml:space="preserve"> ADDIN ZOTERO_ITEM CSL_CITATION {"citationID":"2Ds2z27Y","properties":{"formattedCitation":"\\super 6\\nosupersub{}","plainCitation":"6","noteIndex":0},"citationItems":[{"id":4146,"uris":["http://zotero.org/users/2850877/items/DM5BH842"],"itemData":{"id":4146,"type":"article-journal","abstract":"Nutrient Profiling Systems provide frameworks to assess the healthfulness of foods based on food composition and are intended as inputs into strategies to improve diets. Many Nutrient Profiling Systems are founded on a reductionist assumption that the healthfulness of foods is determined by the sum of their individual nutrients, with no consideration for the extent and purpose of processing and its health implications. A novel Nutrient Profiling System called Food Compass attempted to address existing gaps and provide a more holistic assessment of the healthfulness of foods. We propose that the chosen algorithm is not well justified and produces results that fail to discriminate for common shortfall nutrients, exaggerate the risks associated with animal-source foods, and underestimate the risks associated with ultraprocessed foods. We caution against the use of Food Compass in its current form to inform consumer choices, policies, programs, industry reformulations, and investment decisions.","container-title":"The Journal of Nutrition","DOI":"10.1016/j.tjnut.2023.01.027","ISSN":"0022-3166","issue":"3","journalAbbreviation":"The Journal of Nutrition","page":"610-614","source":"ScienceDirect","title":"Limitations of the Food Compass Nutrient Profiling System","volume":"153","author":[{"family":"Ortenzi","given":"Flaminia"},{"family":"Kolby","given":"Marit"},{"family":"Lawrence","given":"Mark"},{"family":"Leroy","given":"Frédéric"},{"family":"Nordhagen","given":"Stella"},{"family":"Phillips","given":"Stuart M."},{"family":"Vliet","given":"Stephan","non-dropping-particle":"van"},{"family":"Beal","given":"Ty"}],"issued":{"date-parts":[["2023",3,1]]}}}],"schema":"https://github.com/citation-style-language/schema/raw/master/csl-citation.json"} </w:instrText>
      </w:r>
      <w:r w:rsidR="004051C5" w:rsidRPr="00F549CC">
        <w:rPr>
          <w:rFonts w:ascii="Times New Roman" w:hAnsi="Times New Roman" w:cs="Times New Roman"/>
        </w:rPr>
        <w:fldChar w:fldCharType="separate"/>
      </w:r>
      <w:r w:rsidR="009C0D3D" w:rsidRPr="009C0D3D">
        <w:rPr>
          <w:rFonts w:ascii="Times New Roman" w:hAnsi="Times New Roman" w:cs="Times New Roman"/>
          <w:kern w:val="0"/>
          <w:vertAlign w:val="superscript"/>
        </w:rPr>
        <w:t>6</w:t>
      </w:r>
      <w:r w:rsidR="004051C5" w:rsidRPr="00F549CC">
        <w:rPr>
          <w:rFonts w:ascii="Times New Roman" w:hAnsi="Times New Roman" w:cs="Times New Roman"/>
        </w:rPr>
        <w:fldChar w:fldCharType="end"/>
      </w:r>
      <w:r w:rsidR="004051C5">
        <w:rPr>
          <w:rFonts w:ascii="Times New Roman" w:eastAsia="Times New Roman" w:hAnsi="Times New Roman" w:cs="Times New Roman"/>
        </w:rPr>
        <w:t xml:space="preserve">. </w:t>
      </w:r>
      <w:r w:rsidR="00B51263" w:rsidRPr="00B51263">
        <w:rPr>
          <w:rFonts w:ascii="Times New Roman" w:eastAsia="Times New Roman" w:hAnsi="Times New Roman" w:cs="Times New Roman"/>
        </w:rPr>
        <w:t xml:space="preserve">Food Compass uniquely </w:t>
      </w:r>
      <w:r>
        <w:rPr>
          <w:rFonts w:ascii="Times New Roman" w:eastAsia="Times New Roman" w:hAnsi="Times New Roman" w:cs="Times New Roman"/>
        </w:rPr>
        <w:t>includes some nutrients like phosphorus</w:t>
      </w:r>
      <w:r w:rsidR="00FD109E" w:rsidRPr="00F549CC">
        <w:rPr>
          <w:rFonts w:ascii="Times New Roman" w:hAnsi="Times New Roman" w:cs="Times New Roman"/>
        </w:rPr>
        <w:fldChar w:fldCharType="begin"/>
      </w:r>
      <w:r w:rsidR="009C0D3D">
        <w:rPr>
          <w:rFonts w:ascii="Times New Roman" w:hAnsi="Times New Roman" w:cs="Times New Roman"/>
        </w:rPr>
        <w:instrText xml:space="preserve"> ADDIN ZOTERO_ITEM CSL_CITATION {"citationID":"m2GwaWID","properties":{"formattedCitation":"\\super 7\\nosupersub{}","plainCitation":"7","noteIndex":0},"citationItems":[{"id":4142,"uris":["http://zotero.org/users/2850877/items/JDZKHKPZ"],"itemData":{"id":4142,"type":"chapter","abstract":"Phosphorus is an essential micronutrient involved in a number of critical biological processes including bone metabolism and intracellular signaling. Systemic phosphorus homeostasis is tightly regulated through an intricate system of endocrine feedback loops. Parathyroid hormone and fibroblast growth factor 23 are the primary effector hormones in this system that coordinates phosphorus trafficking between dietary phosphorus absorption, urinary phosphorus excretion, and exchanges with bone and soft tissue stores. Nutritional phosphorus deficiency is rare in the developed world since most individuals consume more phosphorus than is required for daily needs. Excess dietary phosphorus intake is more of a concern in Western diets, in part due to the widespread use of phosphorus-based food additives. Evidence that excess phosphorus intake is linked to kidney, cardiovascular, and bone disease requires careful consideration of how to properly balance safety, quality, and convenience of the food supply with chronic disease risk in the general population.","container-title":"Present Knowledge in Nutrition (Eleventh Edition)","ISBN":"978-0-323-66162-1","note":"DOI: 10.1016/B978-0-323-66162-1.00020-2","page":"335-348","publisher":"Academic Press","source":"ScienceDirect","title":"Chapter 20 - Phosphorus","URL":"https://www.sciencedirect.com/science/article/pii/B9780323661621000202","author":[{"family":"Gutiérrez","given":"Orlando M."}],"editor":[{"family":"Marriott","given":"Bernadette P."},{"family":"Birt","given":"Diane F."},{"family":"Stallings","given":"Virginia A."},{"family":"Yates","given":"Allison A."}],"accessed":{"date-parts":[["2023",9,28]]},"issued":{"date-parts":[["2020",1,1]]}}}],"schema":"https://github.com/citation-style-language/schema/raw/master/csl-citation.json"} </w:instrText>
      </w:r>
      <w:r w:rsidR="00FD109E" w:rsidRPr="00F549CC">
        <w:rPr>
          <w:rFonts w:ascii="Times New Roman" w:hAnsi="Times New Roman" w:cs="Times New Roman"/>
        </w:rPr>
        <w:fldChar w:fldCharType="separate"/>
      </w:r>
      <w:r w:rsidR="009C0D3D" w:rsidRPr="009C0D3D">
        <w:rPr>
          <w:rFonts w:ascii="Times New Roman" w:hAnsi="Times New Roman" w:cs="Times New Roman"/>
          <w:kern w:val="0"/>
          <w:vertAlign w:val="superscript"/>
        </w:rPr>
        <w:t>7</w:t>
      </w:r>
      <w:r w:rsidR="00FD109E" w:rsidRPr="00F549CC">
        <w:rPr>
          <w:rFonts w:ascii="Times New Roman" w:hAnsi="Times New Roman" w:cs="Times New Roman"/>
        </w:rPr>
        <w:fldChar w:fldCharType="end"/>
      </w:r>
      <w:r>
        <w:rPr>
          <w:rFonts w:ascii="Times New Roman" w:eastAsia="Times New Roman" w:hAnsi="Times New Roman" w:cs="Times New Roman"/>
        </w:rPr>
        <w:t xml:space="preserve"> and dietary cholesterol</w:t>
      </w:r>
      <w:r w:rsidR="00FD109E" w:rsidRPr="00F549CC">
        <w:rPr>
          <w:rFonts w:ascii="Times New Roman" w:hAnsi="Times New Roman" w:cs="Times New Roman"/>
        </w:rPr>
        <w:fldChar w:fldCharType="begin"/>
      </w:r>
      <w:r w:rsidR="009C0D3D">
        <w:rPr>
          <w:rFonts w:ascii="Times New Roman" w:hAnsi="Times New Roman" w:cs="Times New Roman"/>
        </w:rPr>
        <w:instrText xml:space="preserve"> ADDIN ZOTERO_ITEM CSL_CITATION {"citationID":"2FoZUUDb","properties":{"formattedCitation":"\\super 8\\nosupersub{}","plainCitation":"8","noteIndex":0},"citationItems":[{"id":4144,"uris":["http://zotero.org/users/2850877/items/JYAGC2JM"],"itemData":{"id":4144,"type":"article-journal","abstract":"The elimination of specific dietary cholesterol target recommendations in recent guidelines has raised questions about its role with respect to cardiovascular disease. This advisory was developed after a review of human studies on the relationship of dietary cholesterol with blood lipids, lipoproteins, and cardiovascular disease risk to address questions about the relevance of dietary cholesterol guidance for heart health. Evidence from observational studies conducted in several countries generally does not indicate a significant association with cardiovascular disease risk. Although meta-analyses of intervention studies differ in their findings, most associate intakes of cholesterol that exceed current average levels with elevated total or low-density lipoprotein cholesterol concentrations. Dietary guidance should focus on healthy dietary patterns (eg, Mediterranean-style and DASH [Dietary Approaches to Stop Hypertension]–style diets) that are inherently relatively low in cholesterol with typical levels similar to the current US intake. These patterns emphasize fruits, vegetables, whole grains, low-fat or fat-free dairy products, lean protein sources, nuts, seeds, and liquid vegetable oils. A recommendation that gives a specific dietary cholesterol target within the context of food-based advice is challenging for clinicians and consumers to implement; hence, guidance focused on dietary patterns is more likely to improve diet quality and to promote cardiovascular health.","container-title":"Circulation","DOI":"10.1161/CIR.0000000000000743","issue":"3","note":"publisher: American Heart Association","page":"e39-e53","source":"ahajournals.org (Atypon)","title":"Dietary Cholesterol and Cardiovascular Risk: A Science Advisory From the American Heart Association","title-short":"Dietary Cholesterol and Cardiovascular Risk","volume":"141","author":[{"family":"Carson","given":"Jo Ann S."},{"family":"Lichtenstein","given":"Alice H."},{"family":"Anderson","given":"Cheryl A.M."},{"family":"Appel","given":"Lawrence J."},{"family":"Kris-Etherton","given":"Penny M."},{"family":"Meyer","given":"Katie A."},{"family":"Petersen","given":"Kristina"},{"family":"Polonsky","given":"Tamar"},{"family":"Van Horn","given":"Linda"},{"family":"null","given":"null"}],"issued":{"date-parts":[["2020",1,21]]}}}],"schema":"https://github.com/citation-style-language/schema/raw/master/csl-citation.json"} </w:instrText>
      </w:r>
      <w:r w:rsidR="00FD109E" w:rsidRPr="00F549CC">
        <w:rPr>
          <w:rFonts w:ascii="Times New Roman" w:hAnsi="Times New Roman" w:cs="Times New Roman"/>
        </w:rPr>
        <w:fldChar w:fldCharType="separate"/>
      </w:r>
      <w:r w:rsidR="009C0D3D" w:rsidRPr="009C0D3D">
        <w:rPr>
          <w:rFonts w:ascii="Times New Roman" w:hAnsi="Times New Roman" w:cs="Times New Roman"/>
          <w:kern w:val="0"/>
          <w:vertAlign w:val="superscript"/>
        </w:rPr>
        <w:t>8</w:t>
      </w:r>
      <w:r w:rsidR="00FD109E" w:rsidRPr="00F549CC">
        <w:rPr>
          <w:rFonts w:ascii="Times New Roman" w:hAnsi="Times New Roman" w:cs="Times New Roman"/>
        </w:rPr>
        <w:fldChar w:fldCharType="end"/>
      </w:r>
      <w:r>
        <w:rPr>
          <w:rFonts w:ascii="Times New Roman" w:eastAsia="Times New Roman" w:hAnsi="Times New Roman" w:cs="Times New Roman"/>
        </w:rPr>
        <w:t xml:space="preserve"> that have limited public health relevance. </w:t>
      </w:r>
      <w:r w:rsidR="00B51263">
        <w:rPr>
          <w:rFonts w:ascii="Times New Roman" w:eastAsia="Times New Roman" w:hAnsi="Times New Roman" w:cs="Times New Roman"/>
        </w:rPr>
        <w:t>T</w:t>
      </w:r>
      <w:r>
        <w:rPr>
          <w:rFonts w:ascii="Times New Roman" w:eastAsia="Times New Roman" w:hAnsi="Times New Roman" w:cs="Times New Roman"/>
        </w:rPr>
        <w:t xml:space="preserve">he Nutrient Rich Foods index </w:t>
      </w:r>
      <w:r w:rsidR="00B51263">
        <w:rPr>
          <w:rFonts w:ascii="Times New Roman" w:eastAsia="Times New Roman" w:hAnsi="Times New Roman" w:cs="Times New Roman"/>
        </w:rPr>
        <w:t xml:space="preserve">distinctly </w:t>
      </w:r>
      <w:r>
        <w:rPr>
          <w:rFonts w:ascii="Times New Roman" w:eastAsia="Times New Roman" w:hAnsi="Times New Roman" w:cs="Times New Roman"/>
        </w:rPr>
        <w:t>estimates noncommunicable disease risk using limiting nutrients, rather than nutrient ratios, which evidence suggests may better predict disease risk</w:t>
      </w:r>
      <w:r w:rsidR="00E15ED1" w:rsidRPr="00F549CC">
        <w:rPr>
          <w:rFonts w:ascii="Times New Roman" w:hAnsi="Times New Roman" w:cs="Times New Roman"/>
        </w:rPr>
        <w:fldChar w:fldCharType="begin"/>
      </w:r>
      <w:r w:rsidR="00E15ED1" w:rsidRPr="00F549CC">
        <w:rPr>
          <w:rFonts w:ascii="Times New Roman" w:hAnsi="Times New Roman" w:cs="Times New Roman"/>
        </w:rPr>
        <w:instrText xml:space="preserve"> ADDIN ZOTERO_ITEM CSL_CITATION {"citationID":"2jVEubsf","properties":{"formattedCitation":"\\super 3\\nosupersub{}","plainCitation":"3","noteIndex":0},"citationItems":[{"id":3101,"uris":["http://zotero.org/users/2850877/items/YY2LRKJT"],"itemData":{"id":3101,"type":"article-journal","abstract":"Nutrient profiling systems (NPS) aim to discriminate the healthfulness of foods for front-of-package labelling, warning labels, taxation, company ratings and more. Existing NPS often assess relatively few nutrients and ingredients, use inconsistent criteria across food categories and have not incorporated the newest science. Here, we developed and validated an NPS, the Food Compass, to incorporate a broader range of food characteristics, attributes and uniform scoring principles. We scored 54 attributes across 9 health-relevant domains: nutrient ratios, vitamins, minerals, food ingredients, additives, processing, specific lipids, fibre and protein, and phytochemicals. The domain scores were summed into a final Food Compass Score (FCS) ranging from 1 (least healthy) to 100 (most healthy) for all foods and beverages. Content validity was confirmed by assessing nutrients, food ingredients and other characteristics of public health concern; face validity was confirmed by assessing the FCS for 8,032 foods and beverages reported in NHANES/FNDDS 2015–16; and convergent and discriminant validity was confirmed from comparisons with the NOVA food processing classification, the Health Star Rating and the Nutri-Score. The FCS differentiated food categories and food items well, with mean ± s.d. ranging from 16.4 ± 17.7 for savoury snacks and sweet desserts to 78.6 ± 17.4 for legumes, nuts and seeds. In many food categories, the FCS provided important discrimination of specific foods and beverages as compared with NOVA, the Health Star Rating or the Nutri-Score. On the basis of demonstrated content, convergent and discriminant validity, the Food Compass provides an NPS scoring a broader range of attributes and domains than previous systems with uniform and transparent principles. This publicly available tool will help guide consumer choice, research, food policy, industry reformulations and mission-focused investment decisions.","container-title":"Nature Food","DOI":"10.1038/s43016-021-00381-y","ISSN":"2662-1355","issue":"10","journalAbbreviation":"Nat Food","language":"en","license":"2021 The Author(s), under exclusive licence to Springer Nature Limited","note":"Bandiera_abtest: a\nCg_type: Nature Research Journals\nnumber: 10\nPrimary_atype: Research\npublisher: Nature Publishing Group\nSubject_term: Business;Risk factors\nSubject_term_id: business;risk-factors","page":"809-818","source":"www.nature.com","title":"Food Compass is a nutrient profiling system using expanded characteristics for assessing healthfulness of foods","volume":"2","author":[{"family":"Mozaffarian","given":"Dariush"},{"family":"El-Abbadi","given":"Naglaa H."},{"family":"O’Hearn","given":"Meghan"},{"family":"Erndt-Marino","given":"Josh"},{"family":"Masters","given":"William A."},{"family":"Jacques","given":"Paul"},{"family":"Shi","given":"Peilin"},{"family":"Blumberg","given":"Jeffrey B."},{"family":"Micha","given":"Renata"}],"issued":{"date-parts":[["2021",10]]}}}],"schema":"https://github.com/citation-style-language/schema/raw/master/csl-citation.json"} </w:instrText>
      </w:r>
      <w:r w:rsidR="00E15ED1" w:rsidRPr="00F549CC">
        <w:rPr>
          <w:rFonts w:ascii="Times New Roman" w:hAnsi="Times New Roman" w:cs="Times New Roman"/>
        </w:rPr>
        <w:fldChar w:fldCharType="separate"/>
      </w:r>
      <w:r w:rsidR="00E15ED1" w:rsidRPr="00F549CC">
        <w:rPr>
          <w:rFonts w:ascii="Times New Roman" w:hAnsi="Times New Roman" w:cs="Times New Roman"/>
          <w:kern w:val="0"/>
          <w:vertAlign w:val="superscript"/>
        </w:rPr>
        <w:t>3</w:t>
      </w:r>
      <w:r w:rsidR="00E15ED1" w:rsidRPr="00F549CC">
        <w:rPr>
          <w:rFonts w:ascii="Times New Roman" w:hAnsi="Times New Roman" w:cs="Times New Roman"/>
        </w:rPr>
        <w:fldChar w:fldCharType="end"/>
      </w:r>
      <w:r>
        <w:rPr>
          <w:rFonts w:ascii="Times New Roman" w:eastAsia="Times New Roman" w:hAnsi="Times New Roman" w:cs="Times New Roman"/>
        </w:rPr>
        <w:t>.</w:t>
      </w:r>
    </w:p>
    <w:p w14:paraId="014F3EF6" w14:textId="77777777" w:rsidR="00C05F6D" w:rsidRDefault="00C05F6D">
      <w:pPr>
        <w:spacing w:line="480" w:lineRule="auto"/>
        <w:rPr>
          <w:rFonts w:ascii="Times New Roman" w:eastAsia="Times New Roman" w:hAnsi="Times New Roman" w:cs="Times New Roman"/>
        </w:rPr>
      </w:pPr>
    </w:p>
    <w:p w14:paraId="24727441" w14:textId="7D4B4E0A" w:rsidR="004B3477" w:rsidRDefault="000D22B3" w:rsidP="0069624F">
      <w:pPr>
        <w:spacing w:after="840" w:line="480" w:lineRule="auto"/>
        <w:rPr>
          <w:rFonts w:ascii="Times New Roman" w:eastAsia="Times New Roman" w:hAnsi="Times New Roman" w:cs="Times New Roman"/>
        </w:rPr>
      </w:pPr>
      <w:r>
        <w:rPr>
          <w:rFonts w:ascii="Times New Roman" w:eastAsia="Times New Roman" w:hAnsi="Times New Roman" w:cs="Times New Roman"/>
        </w:rPr>
        <w:lastRenderedPageBreak/>
        <w:t>We developed a Nutritional Value Score (NVS) based on global health priorities to discriminate the nutritional value of foods recommended in global dietary guidelines</w:t>
      </w:r>
      <w:r w:rsidR="00610185">
        <w:rPr>
          <w:rFonts w:ascii="Times New Roman" w:eastAsia="Times New Roman" w:hAnsi="Times New Roman" w:cs="Times New Roman"/>
        </w:rPr>
        <w:t xml:space="preserve"> for evidence-based </w:t>
      </w:r>
      <w:r w:rsidR="00C46536">
        <w:rPr>
          <w:rFonts w:ascii="Times New Roman" w:eastAsia="Times New Roman" w:hAnsi="Times New Roman" w:cs="Times New Roman"/>
        </w:rPr>
        <w:t xml:space="preserve">policy and </w:t>
      </w:r>
      <w:r w:rsidR="00610185">
        <w:rPr>
          <w:rFonts w:ascii="Times New Roman" w:eastAsia="Times New Roman" w:hAnsi="Times New Roman" w:cs="Times New Roman"/>
        </w:rPr>
        <w:t>programming in low- and middle-income countries</w:t>
      </w:r>
      <w:r w:rsidR="00A652B9" w:rsidRPr="00F549CC">
        <w:rPr>
          <w:rFonts w:ascii="Times New Roman" w:hAnsi="Times New Roman" w:cs="Times New Roman"/>
        </w:rPr>
        <w:fldChar w:fldCharType="begin"/>
      </w:r>
      <w:r w:rsidR="007267F7">
        <w:rPr>
          <w:rFonts w:ascii="Times New Roman" w:hAnsi="Times New Roman" w:cs="Times New Roman"/>
        </w:rPr>
        <w:instrText xml:space="preserve"> ADDIN ZOTERO_ITEM CSL_CITATION {"citationID":"4sm7BBwD","properties":{"formattedCitation":"\\super 9\\nosupersub{}","plainCitation":"9","noteIndex":0},"citationItems":[{"id":3803,"uris":["http://zotero.org/users/2850877/items/WGP4BH3C"],"itemData":{"id":3803,"type":"article-journal","abstract":"The objective of this review is to provide a concise, descriptive global review of current food-based dietary guidelines (FBDG), and to assess similarities and differences in key elements of a healthy diet articulated across countries. Information was sourced from the FBDG repository of the FAO, which catalogs FBDG for all countries where they are available, including a description of the food guide (the graphic representation of the dietary guidelines), a set of key messages, and downloadable documents provided by the countries. FBDG are currently available for 90 countries globally: 7 in Africa, 17 in Asia and the Pacific, 33 in Europe, 27 in Latin America and the Caribbean, 4 in the Near East, and 2 in North America. The year of publication of current versions ranges from 1986 to 2017 (mean 2009). This review provides summaries of the key messages and food guides that are used to communicate national dietary guidance, organized by food group, and evaluates the extent to which each set of FBDG includes existing recommendations articulated by the WHO. Some guidance appears nearly universally across countries: to consume a variety of foods; to consume some foods in higher proportion than others; to consume fruits and vegetables, legumes, and animal-source foods; and to limit sugar, fat, and salt. Guidelines on dairy, red meat, fats and oils, and nuts are more variable. Although WHO global guidance encourages consumption of nuts, whole grains, and healthy fats, these messages are not universally echoed across countries. Future frontiers in FBDG development include the incorporation of environmental sustainability and increased attention to sociocultural factors including rapidly changing dietary trends. Steps toward regional and global dietary recommendations could be helpful for refinement of country-level FBDG, and for clear communication and measurement of diet quality both nationally and globally.","container-title":"Advances in Nutrition","DOI":"10.1093/advances/nmy130","ISSN":"2161-8313","issue":"4","journalAbbreviation":"Advances in Nutrition","page":"590-605","source":"Silverchair","title":"A Global Review of Food-Based Dietary Guidelines","volume":"10","author":[{"family":"Herforth","given":"Anna"},{"family":"Arimond","given":"Mary"},{"family":"Álvarez-Sánchez","given":"Cristina"},{"family":"Coates","given":"Jennifer"},{"family":"Christianson","given":"Karin"},{"family":"Muehlhoff","given":"Ellen"}],"issued":{"date-parts":[["2019",7,1]]}}}],"schema":"https://github.com/citation-style-language/schema/raw/master/csl-citation.json"} </w:instrText>
      </w:r>
      <w:r w:rsidR="00A652B9" w:rsidRPr="00F549CC">
        <w:rPr>
          <w:rFonts w:ascii="Times New Roman" w:hAnsi="Times New Roman" w:cs="Times New Roman"/>
        </w:rPr>
        <w:fldChar w:fldCharType="separate"/>
      </w:r>
      <w:r w:rsidR="007267F7" w:rsidRPr="007267F7">
        <w:rPr>
          <w:rFonts w:ascii="Times New Roman" w:hAnsi="Times New Roman" w:cs="Times New Roman"/>
          <w:kern w:val="0"/>
          <w:vertAlign w:val="superscript"/>
        </w:rPr>
        <w:t>9</w:t>
      </w:r>
      <w:r w:rsidR="00A652B9" w:rsidRPr="00F549CC">
        <w:rPr>
          <w:rFonts w:ascii="Times New Roman" w:hAnsi="Times New Roman" w:cs="Times New Roman"/>
        </w:rPr>
        <w:fldChar w:fldCharType="end"/>
      </w:r>
      <w:r>
        <w:rPr>
          <w:rFonts w:ascii="Times New Roman" w:eastAsia="Times New Roman" w:hAnsi="Times New Roman" w:cs="Times New Roman"/>
        </w:rPr>
        <w:t xml:space="preserve">. We excluded fortified foods, due to a scarcity of reliable local food composition data, and ultraprocessed foods, because they are typically not the focus in dietary guidelines </w:t>
      </w:r>
      <w:r w:rsidR="0005078D">
        <w:rPr>
          <w:rFonts w:ascii="Times New Roman" w:eastAsia="Times New Roman" w:hAnsi="Times New Roman" w:cs="Times New Roman"/>
        </w:rPr>
        <w:t>globally</w:t>
      </w:r>
      <w:r>
        <w:rPr>
          <w:rFonts w:ascii="Times New Roman" w:eastAsia="Times New Roman" w:hAnsi="Times New Roman" w:cs="Times New Roman"/>
        </w:rPr>
        <w:t xml:space="preserve">. The NVS assesses the quantity and quality of essential nutrients as well as other dietary attributes that indicate protection against noncommunicable diseases. It is based on </w:t>
      </w:r>
      <w:r w:rsidR="002F697A">
        <w:rPr>
          <w:rFonts w:ascii="Times New Roman" w:eastAsia="Times New Roman" w:hAnsi="Times New Roman" w:cs="Times New Roman"/>
        </w:rPr>
        <w:t xml:space="preserve">seven </w:t>
      </w:r>
      <w:r>
        <w:rPr>
          <w:rFonts w:ascii="Times New Roman" w:eastAsia="Times New Roman" w:hAnsi="Times New Roman" w:cs="Times New Roman"/>
        </w:rPr>
        <w:t xml:space="preserve">components: </w:t>
      </w:r>
      <w:r w:rsidR="002F697A">
        <w:rPr>
          <w:rFonts w:ascii="Times New Roman" w:eastAsia="Times New Roman" w:hAnsi="Times New Roman" w:cs="Times New Roman"/>
        </w:rPr>
        <w:t xml:space="preserve">nutrient ratios, </w:t>
      </w:r>
      <w:r>
        <w:rPr>
          <w:rFonts w:ascii="Times New Roman" w:eastAsia="Times New Roman" w:hAnsi="Times New Roman" w:cs="Times New Roman"/>
        </w:rPr>
        <w:t xml:space="preserve">vitamins, minerals, essential amino acids, </w:t>
      </w:r>
      <w:r>
        <w:rPr>
          <w:rFonts w:ascii="Times New Roman" w:eastAsia="Times New Roman" w:hAnsi="Times New Roman" w:cs="Times New Roman"/>
          <w:i/>
        </w:rPr>
        <w:t>n</w:t>
      </w:r>
      <w:r>
        <w:rPr>
          <w:rFonts w:ascii="Times New Roman" w:eastAsia="Times New Roman" w:hAnsi="Times New Roman" w:cs="Times New Roman"/>
        </w:rPr>
        <w:t xml:space="preserve">-3 fatty acids, fiber, and </w:t>
      </w:r>
      <w:r w:rsidR="001201CB">
        <w:rPr>
          <w:rFonts w:ascii="Times New Roman" w:eastAsia="Times New Roman" w:hAnsi="Times New Roman" w:cs="Times New Roman"/>
        </w:rPr>
        <w:t>C</w:t>
      </w:r>
      <w:r w:rsidR="002F697A">
        <w:rPr>
          <w:rFonts w:ascii="Times New Roman" w:eastAsia="Times New Roman" w:hAnsi="Times New Roman" w:cs="Times New Roman"/>
        </w:rPr>
        <w:t>alories (Fig</w:t>
      </w:r>
      <w:r w:rsidR="00C87C20">
        <w:rPr>
          <w:rFonts w:ascii="Times New Roman" w:eastAsia="Times New Roman" w:hAnsi="Times New Roman" w:cs="Times New Roman"/>
        </w:rPr>
        <w:t>.</w:t>
      </w:r>
      <w:r w:rsidR="002F697A">
        <w:rPr>
          <w:rFonts w:ascii="Times New Roman" w:eastAsia="Times New Roman" w:hAnsi="Times New Roman" w:cs="Times New Roman"/>
        </w:rPr>
        <w:t xml:space="preserve"> 1)</w:t>
      </w:r>
      <w:r>
        <w:rPr>
          <w:rFonts w:ascii="Times New Roman" w:eastAsia="Times New Roman" w:hAnsi="Times New Roman" w:cs="Times New Roman"/>
        </w:rPr>
        <w:t>. We also produced a Nutrient Density Score based solely on the four essential nutrient components, which can be used to identify nutrient dense foods to be targeted in policies and programs seeking to address essential nutrient deficiencies and associated undernutrition. The NVS and each component score</w:t>
      </w:r>
      <w:r w:rsidR="0012428C">
        <w:rPr>
          <w:rFonts w:ascii="Times New Roman" w:eastAsia="Times New Roman" w:hAnsi="Times New Roman" w:cs="Times New Roman"/>
        </w:rPr>
        <w:t xml:space="preserve">, except for the </w:t>
      </w:r>
      <w:r w:rsidR="00396CC5">
        <w:rPr>
          <w:rFonts w:ascii="Times New Roman" w:eastAsia="Times New Roman" w:hAnsi="Times New Roman" w:cs="Times New Roman"/>
        </w:rPr>
        <w:t>C</w:t>
      </w:r>
      <w:r w:rsidR="0012428C">
        <w:rPr>
          <w:rFonts w:ascii="Times New Roman" w:eastAsia="Times New Roman" w:hAnsi="Times New Roman" w:cs="Times New Roman"/>
        </w:rPr>
        <w:t>alories score,</w:t>
      </w:r>
      <w:r>
        <w:rPr>
          <w:rFonts w:ascii="Times New Roman" w:eastAsia="Times New Roman" w:hAnsi="Times New Roman" w:cs="Times New Roman"/>
        </w:rPr>
        <w:t xml:space="preserve"> is scaled from 1 to 100, where 1 is the food with the lowest nutritional value and 100 is the food with the highest.</w:t>
      </w:r>
      <w:r w:rsidR="0012428C">
        <w:rPr>
          <w:rFonts w:ascii="Times New Roman" w:eastAsia="Times New Roman" w:hAnsi="Times New Roman" w:cs="Times New Roman"/>
        </w:rPr>
        <w:t xml:space="preserve"> The </w:t>
      </w:r>
      <w:r w:rsidR="0000602F">
        <w:rPr>
          <w:rFonts w:ascii="Times New Roman" w:eastAsia="Times New Roman" w:hAnsi="Times New Roman" w:cs="Times New Roman"/>
        </w:rPr>
        <w:t>C</w:t>
      </w:r>
      <w:r w:rsidR="0012428C">
        <w:rPr>
          <w:rFonts w:ascii="Times New Roman" w:eastAsia="Times New Roman" w:hAnsi="Times New Roman" w:cs="Times New Roman"/>
        </w:rPr>
        <w:t xml:space="preserve">alories score is scaled from –100 to 0, where –100 is the </w:t>
      </w:r>
      <w:r w:rsidR="00CD787E">
        <w:rPr>
          <w:rFonts w:ascii="Times New Roman" w:eastAsia="Times New Roman" w:hAnsi="Times New Roman" w:cs="Times New Roman"/>
        </w:rPr>
        <w:t>lowest score and 0 is the highest score.</w:t>
      </w:r>
      <w:r>
        <w:rPr>
          <w:rFonts w:ascii="Times New Roman" w:eastAsia="Times New Roman" w:hAnsi="Times New Roman" w:cs="Times New Roman"/>
        </w:rPr>
        <w:t xml:space="preserve"> The NVS is intended to inform evidence-based policies and programs. It is also designed specifically for use in environmental impact and affordability assessments, which have difficulty incorporating nutritional differences in foods using common units like 1 kg or 1,000 Calories.</w:t>
      </w:r>
    </w:p>
    <w:p w14:paraId="05AC7A1E" w14:textId="22BC0D21" w:rsidR="0012428C" w:rsidRDefault="0012428C" w:rsidP="004B3477">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3507159" wp14:editId="40C5CFC1">
            <wp:extent cx="4584700" cy="2082800"/>
            <wp:effectExtent l="0" t="0" r="0" b="0"/>
            <wp:docPr id="1110280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80230" name="Picture 1110280230"/>
                    <pic:cNvPicPr/>
                  </pic:nvPicPr>
                  <pic:blipFill>
                    <a:blip r:embed="rId9">
                      <a:extLst>
                        <a:ext uri="{28A0092B-C50C-407E-A947-70E740481C1C}">
                          <a14:useLocalDpi xmlns:a14="http://schemas.microsoft.com/office/drawing/2010/main" val="0"/>
                        </a:ext>
                      </a:extLst>
                    </a:blip>
                    <a:stretch>
                      <a:fillRect/>
                    </a:stretch>
                  </pic:blipFill>
                  <pic:spPr>
                    <a:xfrm>
                      <a:off x="0" y="0"/>
                      <a:ext cx="4584700" cy="2082800"/>
                    </a:xfrm>
                    <a:prstGeom prst="rect">
                      <a:avLst/>
                    </a:prstGeom>
                  </pic:spPr>
                </pic:pic>
              </a:graphicData>
            </a:graphic>
          </wp:inline>
        </w:drawing>
      </w:r>
    </w:p>
    <w:p w14:paraId="55A5622C" w14:textId="5CE53DF4" w:rsidR="004B3477" w:rsidRPr="001A02CD" w:rsidRDefault="004B3477" w:rsidP="00894D16">
      <w:pPr>
        <w:spacing w:line="480" w:lineRule="auto"/>
        <w:ind w:left="1080" w:right="83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 xml:space="preserve">Fig. 1 | Nutritional Value Score </w:t>
      </w:r>
      <w:r w:rsidR="001A02CD">
        <w:rPr>
          <w:rFonts w:ascii="Times New Roman" w:eastAsia="Times New Roman" w:hAnsi="Times New Roman" w:cs="Times New Roman"/>
          <w:b/>
          <w:sz w:val="20"/>
          <w:szCs w:val="20"/>
        </w:rPr>
        <w:t xml:space="preserve">components. </w:t>
      </w:r>
      <w:r w:rsidR="001A02CD">
        <w:rPr>
          <w:rFonts w:ascii="Times New Roman" w:eastAsia="Times New Roman" w:hAnsi="Times New Roman" w:cs="Times New Roman"/>
          <w:bCs/>
          <w:sz w:val="20"/>
          <w:szCs w:val="20"/>
        </w:rPr>
        <w:t xml:space="preserve">The area of the boxes </w:t>
      </w:r>
      <w:r w:rsidR="004472B8">
        <w:rPr>
          <w:rFonts w:ascii="Times New Roman" w:eastAsia="Times New Roman" w:hAnsi="Times New Roman" w:cs="Times New Roman"/>
          <w:bCs/>
          <w:sz w:val="20"/>
          <w:szCs w:val="20"/>
        </w:rPr>
        <w:t>indicates</w:t>
      </w:r>
      <w:r w:rsidR="001A02CD">
        <w:rPr>
          <w:rFonts w:ascii="Times New Roman" w:eastAsia="Times New Roman" w:hAnsi="Times New Roman" w:cs="Times New Roman"/>
          <w:bCs/>
          <w:sz w:val="20"/>
          <w:szCs w:val="20"/>
        </w:rPr>
        <w:t xml:space="preserve"> the weights of each component in the algorithm.</w:t>
      </w:r>
    </w:p>
    <w:p w14:paraId="1EB7CEBC" w14:textId="77777777" w:rsidR="00C05F6D" w:rsidRDefault="00C05F6D">
      <w:pPr>
        <w:spacing w:line="480" w:lineRule="auto"/>
        <w:rPr>
          <w:rFonts w:ascii="Times New Roman" w:eastAsia="Times New Roman" w:hAnsi="Times New Roman" w:cs="Times New Roman"/>
        </w:rPr>
      </w:pPr>
    </w:p>
    <w:p w14:paraId="0C82C37D" w14:textId="119FBDB1" w:rsidR="00C05F6D" w:rsidRDefault="000D22B3" w:rsidP="00251D83">
      <w:pPr>
        <w:spacing w:line="480" w:lineRule="auto"/>
        <w:rPr>
          <w:rFonts w:ascii="Times New Roman" w:eastAsia="Times New Roman" w:hAnsi="Times New Roman" w:cs="Times New Roman"/>
        </w:rPr>
      </w:pPr>
      <w:r>
        <w:rPr>
          <w:rFonts w:ascii="Times New Roman" w:eastAsia="Times New Roman" w:hAnsi="Times New Roman" w:cs="Times New Roman"/>
        </w:rPr>
        <w:t>The NVS follows the latest scientific guidance on developing nutrient profiling systems for global use</w:t>
      </w:r>
      <w:r w:rsidR="00544E0B" w:rsidRPr="00F549CC">
        <w:rPr>
          <w:rFonts w:ascii="Times New Roman" w:hAnsi="Times New Roman" w:cs="Times New Roman"/>
        </w:rPr>
        <w:fldChar w:fldCharType="begin"/>
      </w:r>
      <w:r w:rsidR="00544E0B" w:rsidRPr="00F549CC">
        <w:rPr>
          <w:rFonts w:ascii="Times New Roman" w:hAnsi="Times New Roman" w:cs="Times New Roman"/>
        </w:rPr>
        <w:instrText xml:space="preserve"> ADDIN ZOTERO_ITEM CSL_CITATION {"citationID":"3fh58xti","properties":{"formattedCitation":"\\super 2\\nosupersub{}","plainCitation":"2","noteIndex":0},"citationItems":[{"id":3005,"uris":["http://zotero.org/users/2850877/items/6UBQ75H9"],"itemData":{"id":3005,"type":"article-journal","abstract":"Nutrient profiling (NP) models aim to assess the nutritional quality of individual foods, according to their energy content and nutrient composition. NP models, initially created to prevent obesity in high-income countries, have tended to penalize dietary energy by giving lower ratings to foods containing excessive calories, fat, sugar, and salt. Energy-driven NP models may need to be reconceptualized for use in low- and middle-income countries (LMIC) where hunger, undernutrition, and micronutrient deficiencies continue to be issues of public health concern. Consistent with the position of the WHO that the purpose of NP methods is to address an identified public health problem, NP models intended for use in LMIC ought to address inadequate intakes of vitamin A, B vitamins, folate, calcium, iron, iodine, and zinc and the frequent lack of high-quality protein. Those models of nutrient density that feature beneficial nutrients (high-quality protein, vitamins, minerals, and trace elements) may be better suited to LMIC needs than are some current NP models that are wholly based around nutrients to limit. NP models intended for LMIC and global use will also need to take food fortification into account. The challenge for LMIC public health agencies is how to balance the future risk of excess “empty” calories against the continuing danger of inadequate nutrients and micronutrient deficiencies that persist at the population level.","container-title":"Advances in Nutrition","DOI":"10.1093/advances/nmab018","ISSN":"2161-8313","issue":"3","journalAbbreviation":"Advances in Nutrition","page":"609-620","source":"Silverchair","title":"Perspective: How to Develop Nutrient Profiling Models Intended for Global Use: A Manual","title-short":"Perspective","volume":"12","author":[{"family":"Drewnowski","given":"Adam"},{"family":"Amanquah","given":"Daniel"},{"family":"Gavin-Smith","given":"Breda"}],"issued":{"date-parts":[["2021",5,1]]}}}],"schema":"https://github.com/citation-style-language/schema/raw/master/csl-citation.json"} </w:instrText>
      </w:r>
      <w:r w:rsidR="00544E0B" w:rsidRPr="00F549CC">
        <w:rPr>
          <w:rFonts w:ascii="Times New Roman" w:hAnsi="Times New Roman" w:cs="Times New Roman"/>
        </w:rPr>
        <w:fldChar w:fldCharType="separate"/>
      </w:r>
      <w:r w:rsidR="00544E0B" w:rsidRPr="00F549CC">
        <w:rPr>
          <w:rFonts w:ascii="Times New Roman" w:hAnsi="Times New Roman" w:cs="Times New Roman"/>
          <w:kern w:val="0"/>
          <w:vertAlign w:val="superscript"/>
        </w:rPr>
        <w:t>2</w:t>
      </w:r>
      <w:r w:rsidR="00544E0B" w:rsidRPr="00F549CC">
        <w:rPr>
          <w:rFonts w:ascii="Times New Roman" w:hAnsi="Times New Roman" w:cs="Times New Roman"/>
        </w:rPr>
        <w:fldChar w:fldCharType="end"/>
      </w:r>
      <w:r>
        <w:rPr>
          <w:rFonts w:ascii="Times New Roman" w:eastAsia="Times New Roman" w:hAnsi="Times New Roman" w:cs="Times New Roman"/>
        </w:rPr>
        <w:t>, food sustainability assessments</w:t>
      </w:r>
      <w:r w:rsidR="00544E0B" w:rsidRPr="00F549CC">
        <w:rPr>
          <w:rFonts w:ascii="Times New Roman" w:hAnsi="Times New Roman" w:cs="Times New Roman"/>
        </w:rPr>
        <w:fldChar w:fldCharType="begin"/>
      </w:r>
      <w:r w:rsidR="007267F7">
        <w:rPr>
          <w:rFonts w:ascii="Times New Roman" w:hAnsi="Times New Roman" w:cs="Times New Roman"/>
        </w:rPr>
        <w:instrText xml:space="preserve"> ADDIN ZOTERO_ITEM CSL_CITATION {"citationID":"yAiHsdm4","properties":{"formattedCitation":"\\super 10\\nosupersub{}","plainCitation":"10","noteIndex":0},"citationItems":[{"id":4131,"uris":["http://zotero.org/users/2850877/items/K2WWXD38"],"itemData":{"id":4131,"type":"article-journal","abstract":"To holistically assess the sustainability of our global and local food systems, we need methods that combine environmental and nutritional/health dimensions. One option is nutritional life cycle assessment in which a nutrient or health metric is incorporated into standard environmental life cycle assessment. Measuring nutritional and environmental outcomes in tandem can help elucidate new results that can aid farmers, policymakers, industry, and consumers in transitioning to a food system that is more beneficial for our planet and our health. However, the development of nutrient profiling metrics is still ongoing; thus, we develop and test, with case studies, the “points of differentiation” framework to guide the use of these algorithms in sustainability analyses.","container-title":"The International Journal of Life Cycle Assessment","DOI":"10.1007/s11367-023-02210-9","ISSN":"1614-7502","issue":"10","journalAbbreviation":"Int J Life Cycle Assess","language":"en","page":"1326-1347","source":"Springer Link","title":"A proposed framework to develop nutrient profiling algorithms for assessments of sustainable food: the metrics and their assumptions matter","title-short":"A proposed framework to develop nutrient profiling algorithms for assessments of sustainable food","volume":"28","author":[{"family":"Green","given":"Ashley"},{"family":"Nemecek","given":"Thomas"},{"family":"Mathys","given":"Alexander"}],"issued":{"date-parts":[["2023",10,1]]}}}],"schema":"https://github.com/citation-style-language/schema/raw/master/csl-citation.json"} </w:instrText>
      </w:r>
      <w:r w:rsidR="00544E0B" w:rsidRPr="00F549CC">
        <w:rPr>
          <w:rFonts w:ascii="Times New Roman" w:hAnsi="Times New Roman" w:cs="Times New Roman"/>
        </w:rPr>
        <w:fldChar w:fldCharType="separate"/>
      </w:r>
      <w:r w:rsidR="007267F7" w:rsidRPr="007267F7">
        <w:rPr>
          <w:rFonts w:ascii="Times New Roman" w:hAnsi="Times New Roman" w:cs="Times New Roman"/>
          <w:kern w:val="0"/>
          <w:vertAlign w:val="superscript"/>
        </w:rPr>
        <w:t>10</w:t>
      </w:r>
      <w:r w:rsidR="00544E0B" w:rsidRPr="00F549CC">
        <w:rPr>
          <w:rFonts w:ascii="Times New Roman" w:hAnsi="Times New Roman" w:cs="Times New Roman"/>
        </w:rPr>
        <w:fldChar w:fldCharType="end"/>
      </w:r>
      <w:r>
        <w:rPr>
          <w:rFonts w:ascii="Times New Roman" w:eastAsia="Times New Roman" w:hAnsi="Times New Roman" w:cs="Times New Roman"/>
        </w:rPr>
        <w:t>, and affordability assessments</w:t>
      </w:r>
      <w:r w:rsidR="00544E0B" w:rsidRPr="00F549CC">
        <w:rPr>
          <w:rFonts w:ascii="Times New Roman" w:hAnsi="Times New Roman" w:cs="Times New Roman"/>
        </w:rPr>
        <w:fldChar w:fldCharType="begin"/>
      </w:r>
      <w:r w:rsidR="007267F7">
        <w:rPr>
          <w:rFonts w:ascii="Times New Roman" w:hAnsi="Times New Roman" w:cs="Times New Roman"/>
        </w:rPr>
        <w:instrText xml:space="preserve"> ADDIN ZOTERO_ITEM CSL_CITATION {"citationID":"HAzQA9t7","properties":{"formattedCitation":"\\super 11\\nosupersub{}","plainCitation":"11","noteIndex":0},"citationItems":[{"id":4158,"uris":["http://zotero.org/users/2850877/items/T6BRZA53"],"itemData":{"id":4158,"type":"article-journal","abstract":"Background: The Nutrient Rich Foods (NRF) Index is a formal scoring system that ranks foods on the basis of their nutrient content. When used in conjunction with a food prices database, it can help identify foods that are both nutritious and affordable. Objective: Our aim was to identify healthy, affordable foods and food groups by using the NRF index and US Department of Agriculture (USDA) nutrient composition and food prices data sets. Design: Foods in the USDA Food and Nutrition Database for Dietary Studies 1.0 were scored by using the NRF index. This NRF algorithm was represented by the sum of the percentage of the daily values of 9 nutrients to encourage (protein, fiber, vitamin A, vitamin C, vitamin E, calcium, iron, magnesium, and potassium) minus the sum of the percentage of the maximum recommended values for 3 nutrients to limit (saturated fat, added sugar, and sodium). NRF scores and mean national food prices were calculated per calorie and per US Food and Drug Administration−defined serving. Results: Each of the 9 USDA food groups offered foods of diverse nutritive value and cost. Eggs, dry beans and legumes, and meat and milk products were the lowest-cost sources of protein. Milk and milk products were the lowest-cost sources of calcium, whereas vegetables and fruit were the lowest-cost sources of vitamin C. Milk, potatoes, citrus juices, cereals, and beans had more favorable overall nutrient-to-price ratios than did many vegetables and fruit. Energy-dense grains, sweets, and fats provided most of the calories but fewer nutrients per dollar. Conclusion: One important application of nutrient profile models is to help consumers identify foods that provide optimal nutrition at an affordable cost.","container-title":"The American Journal of Clinical Nutrition","DOI":"10.3945/ajcn.2010.28450D","ISSN":"0002-9165","issue":"4","journalAbbreviation":"The American Journal of Clinical Nutrition","page":"1095S-1101S","source":"ScienceDirect","title":"The Nutrient Rich Foods Index helps to identify healthy, affordable foods1234","volume":"91","author":[{"family":"Drewnowski","given":"Adam"}],"issued":{"date-parts":[["2010",4,1]]}}}],"schema":"https://github.com/citation-style-language/schema/raw/master/csl-citation.json"} </w:instrText>
      </w:r>
      <w:r w:rsidR="00544E0B" w:rsidRPr="00F549CC">
        <w:rPr>
          <w:rFonts w:ascii="Times New Roman" w:hAnsi="Times New Roman" w:cs="Times New Roman"/>
        </w:rPr>
        <w:fldChar w:fldCharType="separate"/>
      </w:r>
      <w:r w:rsidR="007267F7" w:rsidRPr="007267F7">
        <w:rPr>
          <w:rFonts w:ascii="Times New Roman" w:hAnsi="Times New Roman" w:cs="Times New Roman"/>
          <w:kern w:val="0"/>
          <w:vertAlign w:val="superscript"/>
        </w:rPr>
        <w:t>11</w:t>
      </w:r>
      <w:r w:rsidR="00544E0B" w:rsidRPr="00F549CC">
        <w:rPr>
          <w:rFonts w:ascii="Times New Roman" w:hAnsi="Times New Roman" w:cs="Times New Roman"/>
        </w:rPr>
        <w:fldChar w:fldCharType="end"/>
      </w:r>
      <w:r>
        <w:rPr>
          <w:rFonts w:ascii="Times New Roman" w:eastAsia="Times New Roman" w:hAnsi="Times New Roman" w:cs="Times New Roman"/>
        </w:rPr>
        <w:t xml:space="preserve">. The NVS also has unique features. It </w:t>
      </w:r>
      <w:r w:rsidR="005A2FC8">
        <w:rPr>
          <w:rFonts w:ascii="Times New Roman" w:eastAsia="Times New Roman" w:hAnsi="Times New Roman" w:cs="Times New Roman"/>
        </w:rPr>
        <w:t xml:space="preserve">solely </w:t>
      </w:r>
      <w:r>
        <w:rPr>
          <w:rFonts w:ascii="Times New Roman" w:eastAsia="Times New Roman" w:hAnsi="Times New Roman" w:cs="Times New Roman"/>
        </w:rPr>
        <w:t>includes essential nutrients of global health priority</w:t>
      </w:r>
      <w:r w:rsidR="005A2FC8">
        <w:rPr>
          <w:rFonts w:ascii="Times New Roman" w:eastAsia="Times New Roman" w:hAnsi="Times New Roman" w:cs="Times New Roman"/>
        </w:rPr>
        <w:t>, omitting nutrients of little public health significance like phosphorus</w:t>
      </w:r>
      <w:r>
        <w:rPr>
          <w:rFonts w:ascii="Times New Roman" w:eastAsia="Times New Roman" w:hAnsi="Times New Roman" w:cs="Times New Roman"/>
        </w:rPr>
        <w:t xml:space="preserve">. Additionally, it adjusts for bioavailability of iron and zinc and measures the quantity </w:t>
      </w:r>
      <w:r>
        <w:rPr>
          <w:rFonts w:ascii="Times New Roman" w:eastAsia="Times New Roman" w:hAnsi="Times New Roman" w:cs="Times New Roman"/>
          <w:i/>
        </w:rPr>
        <w:t>and</w:t>
      </w:r>
      <w:r>
        <w:rPr>
          <w:rFonts w:ascii="Times New Roman" w:eastAsia="Times New Roman" w:hAnsi="Times New Roman" w:cs="Times New Roman"/>
        </w:rPr>
        <w:t xml:space="preserve"> quality of essential amino acids, which vary considerably across foods. Moreover, the NVS quantifies nutrient density per unit mass </w:t>
      </w:r>
      <w:r>
        <w:rPr>
          <w:rFonts w:ascii="Times New Roman" w:eastAsia="Times New Roman" w:hAnsi="Times New Roman" w:cs="Times New Roman"/>
          <w:i/>
        </w:rPr>
        <w:t>and</w:t>
      </w:r>
      <w:r>
        <w:rPr>
          <w:rFonts w:ascii="Times New Roman" w:eastAsia="Times New Roman" w:hAnsi="Times New Roman" w:cs="Times New Roman"/>
        </w:rPr>
        <w:t xml:space="preserve"> energy to account for the limitations in either approach when used in isolation</w:t>
      </w:r>
      <w:r w:rsidR="00105622">
        <w:rPr>
          <w:rFonts w:ascii="Times New Roman" w:eastAsia="Times New Roman" w:hAnsi="Times New Roman" w:cs="Times New Roman"/>
        </w:rPr>
        <w:t xml:space="preserve"> (</w:t>
      </w:r>
      <w:r w:rsidR="008C7958">
        <w:rPr>
          <w:rFonts w:ascii="Times New Roman" w:eastAsia="Times New Roman" w:hAnsi="Times New Roman" w:cs="Times New Roman"/>
        </w:rPr>
        <w:t xml:space="preserve">Supplementary </w:t>
      </w:r>
      <w:r w:rsidR="001107CF">
        <w:rPr>
          <w:rFonts w:ascii="Times New Roman" w:eastAsia="Times New Roman" w:hAnsi="Times New Roman" w:cs="Times New Roman"/>
        </w:rPr>
        <w:t>Table 10, Supplementary Fig</w:t>
      </w:r>
      <w:r w:rsidR="00421B35">
        <w:rPr>
          <w:rFonts w:ascii="Times New Roman" w:eastAsia="Times New Roman" w:hAnsi="Times New Roman" w:cs="Times New Roman"/>
        </w:rPr>
        <w:t>s</w:t>
      </w:r>
      <w:r w:rsidR="001107CF">
        <w:rPr>
          <w:rFonts w:ascii="Times New Roman" w:eastAsia="Times New Roman" w:hAnsi="Times New Roman" w:cs="Times New Roman"/>
        </w:rPr>
        <w:t>. 16 and 17</w:t>
      </w:r>
      <w:r w:rsidR="008C7958">
        <w:rPr>
          <w:rFonts w:ascii="Times New Roman" w:eastAsia="Times New Roman" w:hAnsi="Times New Roman" w:cs="Times New Roman"/>
        </w:rPr>
        <w:t>)</w:t>
      </w:r>
      <w:r>
        <w:rPr>
          <w:rFonts w:ascii="Times New Roman" w:eastAsia="Times New Roman" w:hAnsi="Times New Roman" w:cs="Times New Roman"/>
        </w:rPr>
        <w:t xml:space="preserve">. Further, it includes sub-scores for each nutritional component so that researchers, program managers, food producers, and policy makers can prioritize foods based on nutritional components of interest, making the NVS a flexible tool applicable across diverse contexts globally. While nutrient profiling systems have historically been focused on high-income countries, we developed the NVS using </w:t>
      </w:r>
      <w:r w:rsidR="00251D83">
        <w:rPr>
          <w:rFonts w:ascii="Times New Roman" w:eastAsia="Times New Roman" w:hAnsi="Times New Roman" w:cs="Times New Roman"/>
        </w:rPr>
        <w:t>local foods from</w:t>
      </w:r>
      <w:r>
        <w:rPr>
          <w:rFonts w:ascii="Times New Roman" w:eastAsia="Times New Roman" w:hAnsi="Times New Roman" w:cs="Times New Roman"/>
        </w:rPr>
        <w:t xml:space="preserve"> two low- and middle-income countries, to ensure global relevance. Notably, the NVS was developed without industry funding, to minimize private sector influence and bias. And finally, all methods, data, and code are published open access so that other researchers can easily use, validate, and adapt the approach in other settings.</w:t>
      </w:r>
    </w:p>
    <w:p w14:paraId="0F9246F0" w14:textId="77777777" w:rsidR="00C05F6D" w:rsidRDefault="00C05F6D">
      <w:pPr>
        <w:spacing w:line="480" w:lineRule="auto"/>
        <w:rPr>
          <w:rFonts w:ascii="Times New Roman" w:eastAsia="Times New Roman" w:hAnsi="Times New Roman" w:cs="Times New Roman"/>
        </w:rPr>
      </w:pPr>
    </w:p>
    <w:p w14:paraId="7580E65F" w14:textId="79C4006E" w:rsidR="00304CAE" w:rsidRPr="00304CAE" w:rsidRDefault="00304CAE">
      <w:pPr>
        <w:spacing w:line="48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Results</w:t>
      </w:r>
    </w:p>
    <w:p w14:paraId="79B82553" w14:textId="77777777" w:rsidR="00C05F6D" w:rsidRPr="00304CAE" w:rsidRDefault="000D22B3">
      <w:pPr>
        <w:spacing w:line="480" w:lineRule="auto"/>
        <w:rPr>
          <w:rFonts w:ascii="Times New Roman" w:eastAsia="Times New Roman" w:hAnsi="Times New Roman" w:cs="Times New Roman"/>
          <w:b/>
        </w:rPr>
      </w:pPr>
      <w:r w:rsidRPr="00304CAE">
        <w:rPr>
          <w:rFonts w:ascii="Times New Roman" w:eastAsia="Times New Roman" w:hAnsi="Times New Roman" w:cs="Times New Roman"/>
          <w:b/>
        </w:rPr>
        <w:t>Component nutritional scores</w:t>
      </w:r>
    </w:p>
    <w:p w14:paraId="287CCD93" w14:textId="65C57792" w:rsidR="00C05F6D" w:rsidRDefault="00716FCE">
      <w:pPr>
        <w:spacing w:line="480" w:lineRule="auto"/>
        <w:rPr>
          <w:rFonts w:ascii="Times New Roman" w:eastAsia="Times New Roman" w:hAnsi="Times New Roman" w:cs="Times New Roman"/>
        </w:rPr>
      </w:pPr>
      <w:r>
        <w:rPr>
          <w:rFonts w:ascii="Times New Roman" w:eastAsia="Times New Roman" w:hAnsi="Times New Roman" w:cs="Times New Roman"/>
        </w:rPr>
        <w:t xml:space="preserve">We </w:t>
      </w:r>
      <w:r w:rsidR="006B359F">
        <w:rPr>
          <w:rFonts w:ascii="Times New Roman" w:eastAsia="Times New Roman" w:hAnsi="Times New Roman" w:cs="Times New Roman"/>
        </w:rPr>
        <w:t>confirmed</w:t>
      </w:r>
      <w:r>
        <w:rPr>
          <w:rFonts w:ascii="Times New Roman" w:eastAsia="Times New Roman" w:hAnsi="Times New Roman" w:cs="Times New Roman"/>
        </w:rPr>
        <w:t xml:space="preserve"> content validity of the NVS algorithm by aligning </w:t>
      </w:r>
      <w:r w:rsidR="005079A7">
        <w:rPr>
          <w:rFonts w:ascii="Times New Roman" w:eastAsia="Times New Roman" w:hAnsi="Times New Roman" w:cs="Times New Roman"/>
        </w:rPr>
        <w:t>its</w:t>
      </w:r>
      <w:r>
        <w:rPr>
          <w:rFonts w:ascii="Times New Roman" w:eastAsia="Times New Roman" w:hAnsi="Times New Roman" w:cs="Times New Roman"/>
        </w:rPr>
        <w:t xml:space="preserve"> components </w:t>
      </w:r>
      <w:r w:rsidR="006B359F">
        <w:rPr>
          <w:rFonts w:ascii="Times New Roman" w:eastAsia="Times New Roman" w:hAnsi="Times New Roman" w:cs="Times New Roman"/>
        </w:rPr>
        <w:t xml:space="preserve">and weights </w:t>
      </w:r>
      <w:r>
        <w:rPr>
          <w:rFonts w:ascii="Times New Roman" w:eastAsia="Times New Roman" w:hAnsi="Times New Roman" w:cs="Times New Roman"/>
        </w:rPr>
        <w:t>with global health priorities</w:t>
      </w:r>
      <w:r w:rsidR="006B359F">
        <w:rPr>
          <w:rFonts w:ascii="Times New Roman" w:eastAsia="Times New Roman" w:hAnsi="Times New Roman" w:cs="Times New Roman"/>
        </w:rPr>
        <w:t xml:space="preserve"> in the scientific literature, expert peer feedback,</w:t>
      </w:r>
      <w:r w:rsidR="00726552">
        <w:rPr>
          <w:rFonts w:ascii="Times New Roman" w:eastAsia="Times New Roman" w:hAnsi="Times New Roman" w:cs="Times New Roman"/>
        </w:rPr>
        <w:t xml:space="preserve"> and</w:t>
      </w:r>
      <w:r w:rsidR="006B359F">
        <w:rPr>
          <w:rFonts w:ascii="Times New Roman" w:eastAsia="Times New Roman" w:hAnsi="Times New Roman" w:cs="Times New Roman"/>
        </w:rPr>
        <w:t xml:space="preserve"> sensitivity analyses</w:t>
      </w:r>
      <w:r w:rsidR="00726552">
        <w:rPr>
          <w:rFonts w:ascii="Times New Roman" w:eastAsia="Times New Roman" w:hAnsi="Times New Roman" w:cs="Times New Roman"/>
        </w:rPr>
        <w:t xml:space="preserve"> using different component weights</w:t>
      </w:r>
      <w:r w:rsidR="006569E0">
        <w:rPr>
          <w:rFonts w:ascii="Times New Roman" w:eastAsia="Times New Roman" w:hAnsi="Times New Roman" w:cs="Times New Roman"/>
        </w:rPr>
        <w:t xml:space="preserve"> </w:t>
      </w:r>
      <w:r w:rsidR="00A96F24">
        <w:rPr>
          <w:rFonts w:ascii="Times New Roman" w:eastAsia="Times New Roman" w:hAnsi="Times New Roman" w:cs="Times New Roman"/>
        </w:rPr>
        <w:t>(</w:t>
      </w:r>
      <w:r w:rsidR="00D878C1">
        <w:rPr>
          <w:rFonts w:ascii="Times New Roman" w:eastAsia="Times New Roman" w:hAnsi="Times New Roman" w:cs="Times New Roman"/>
        </w:rPr>
        <w:t>Supplementary Table 7</w:t>
      </w:r>
      <w:r w:rsidR="00A96F24">
        <w:rPr>
          <w:rFonts w:ascii="Times New Roman" w:eastAsia="Times New Roman" w:hAnsi="Times New Roman" w:cs="Times New Roman"/>
        </w:rPr>
        <w:t>)</w:t>
      </w:r>
      <w:r w:rsidR="00726552">
        <w:rPr>
          <w:rFonts w:ascii="Times New Roman" w:eastAsia="Times New Roman" w:hAnsi="Times New Roman" w:cs="Times New Roman"/>
        </w:rPr>
        <w:t>.</w:t>
      </w:r>
      <w:r w:rsidR="006F5C70">
        <w:rPr>
          <w:rFonts w:ascii="Times New Roman" w:eastAsia="Times New Roman" w:hAnsi="Times New Roman" w:cs="Times New Roman"/>
        </w:rPr>
        <w:t xml:space="preserve"> </w:t>
      </w:r>
      <w:r w:rsidR="00065D39">
        <w:rPr>
          <w:rFonts w:ascii="Times New Roman" w:eastAsia="Times New Roman" w:hAnsi="Times New Roman" w:cs="Times New Roman"/>
        </w:rPr>
        <w:t xml:space="preserve">We </w:t>
      </w:r>
      <w:r w:rsidR="00A55594">
        <w:rPr>
          <w:rFonts w:ascii="Times New Roman" w:eastAsia="Times New Roman" w:hAnsi="Times New Roman" w:cs="Times New Roman"/>
        </w:rPr>
        <w:t>tested</w:t>
      </w:r>
      <w:r w:rsidR="00065D39">
        <w:rPr>
          <w:rFonts w:ascii="Times New Roman" w:eastAsia="Times New Roman" w:hAnsi="Times New Roman" w:cs="Times New Roman"/>
        </w:rPr>
        <w:t xml:space="preserve"> face validity by</w:t>
      </w:r>
      <w:r>
        <w:rPr>
          <w:rFonts w:ascii="Times New Roman" w:eastAsia="Times New Roman" w:hAnsi="Times New Roman" w:cs="Times New Roman"/>
        </w:rPr>
        <w:t xml:space="preserve"> appl</w:t>
      </w:r>
      <w:r w:rsidR="00065D39">
        <w:rPr>
          <w:rFonts w:ascii="Times New Roman" w:eastAsia="Times New Roman" w:hAnsi="Times New Roman" w:cs="Times New Roman"/>
        </w:rPr>
        <w:t>ying</w:t>
      </w:r>
      <w:r>
        <w:rPr>
          <w:rFonts w:ascii="Times New Roman" w:eastAsia="Times New Roman" w:hAnsi="Times New Roman" w:cs="Times New Roman"/>
        </w:rPr>
        <w:t xml:space="preserve"> the NVS algorithm to </w:t>
      </w:r>
      <w:r w:rsidR="000529CA">
        <w:rPr>
          <w:rFonts w:ascii="Times New Roman" w:eastAsia="Times New Roman" w:hAnsi="Times New Roman" w:cs="Times New Roman"/>
        </w:rPr>
        <w:t>127</w:t>
      </w:r>
      <w:r w:rsidR="004016A1">
        <w:rPr>
          <w:rFonts w:ascii="Times New Roman" w:eastAsia="Times New Roman" w:hAnsi="Times New Roman" w:cs="Times New Roman"/>
        </w:rPr>
        <w:t xml:space="preserve"> </w:t>
      </w:r>
      <w:r w:rsidR="00DD2092">
        <w:rPr>
          <w:rFonts w:ascii="Times New Roman" w:eastAsia="Times New Roman" w:hAnsi="Times New Roman" w:cs="Times New Roman"/>
        </w:rPr>
        <w:t xml:space="preserve">unique </w:t>
      </w:r>
      <w:r>
        <w:rPr>
          <w:rFonts w:ascii="Times New Roman" w:eastAsia="Times New Roman" w:hAnsi="Times New Roman" w:cs="Times New Roman"/>
        </w:rPr>
        <w:t>Indonesian and Bangladeshi foods from country-adapted Diet Quality Questionnaires (</w:t>
      </w:r>
      <w:hyperlink r:id="rId10">
        <w:r>
          <w:rPr>
            <w:rFonts w:ascii="Times New Roman" w:eastAsia="Times New Roman" w:hAnsi="Times New Roman" w:cs="Times New Roman"/>
            <w:color w:val="000000"/>
          </w:rPr>
          <w:t>dietquality.org</w:t>
        </w:r>
      </w:hyperlink>
      <w:r>
        <w:rPr>
          <w:rFonts w:ascii="Times New Roman" w:eastAsia="Times New Roman" w:hAnsi="Times New Roman" w:cs="Times New Roman"/>
        </w:rPr>
        <w:t>)</w:t>
      </w:r>
      <w:r w:rsidR="00EF140C">
        <w:rPr>
          <w:rFonts w:ascii="Times New Roman" w:eastAsia="Times New Roman" w:hAnsi="Times New Roman" w:cs="Times New Roman"/>
        </w:rPr>
        <w:t xml:space="preserve"> and</w:t>
      </w:r>
      <w:r w:rsidR="00C86BEC">
        <w:rPr>
          <w:rFonts w:ascii="Times New Roman" w:eastAsia="Times New Roman" w:hAnsi="Times New Roman" w:cs="Times New Roman"/>
        </w:rPr>
        <w:t xml:space="preserve"> </w:t>
      </w:r>
      <w:r w:rsidR="00273541">
        <w:rPr>
          <w:rFonts w:ascii="Times New Roman" w:eastAsia="Times New Roman" w:hAnsi="Times New Roman" w:cs="Times New Roman"/>
        </w:rPr>
        <w:t xml:space="preserve">analyzing each sub-score and final NVS across foods </w:t>
      </w:r>
      <w:r w:rsidR="008A3F18">
        <w:rPr>
          <w:rFonts w:ascii="Times New Roman" w:eastAsia="Times New Roman" w:hAnsi="Times New Roman" w:cs="Times New Roman"/>
        </w:rPr>
        <w:t xml:space="preserve">classified into five broad </w:t>
      </w:r>
      <w:r w:rsidR="00273541">
        <w:rPr>
          <w:rFonts w:ascii="Times New Roman" w:eastAsia="Times New Roman" w:hAnsi="Times New Roman" w:cs="Times New Roman"/>
        </w:rPr>
        <w:t>food groups</w:t>
      </w:r>
      <w:r w:rsidR="008A3F18">
        <w:rPr>
          <w:rFonts w:ascii="Times New Roman" w:eastAsia="Times New Roman" w:hAnsi="Times New Roman" w:cs="Times New Roman"/>
        </w:rPr>
        <w:t xml:space="preserve"> recommended in global dietary guidelines</w:t>
      </w:r>
      <w:r w:rsidR="00D83DFD">
        <w:rPr>
          <w:rFonts w:ascii="Times New Roman" w:eastAsia="Times New Roman" w:hAnsi="Times New Roman" w:cs="Times New Roman"/>
        </w:rPr>
        <w:t>: 38 vegetables, 29 animal</w:t>
      </w:r>
      <w:r w:rsidR="007E29CF">
        <w:rPr>
          <w:rFonts w:ascii="Times New Roman" w:eastAsia="Times New Roman" w:hAnsi="Times New Roman" w:cs="Times New Roman"/>
        </w:rPr>
        <w:t xml:space="preserve"> </w:t>
      </w:r>
      <w:r w:rsidR="00D83DFD">
        <w:rPr>
          <w:rFonts w:ascii="Times New Roman" w:eastAsia="Times New Roman" w:hAnsi="Times New Roman" w:cs="Times New Roman"/>
        </w:rPr>
        <w:t>source foods, 27 fruits, 19 starchy staples, and 14 legumes, nuts, and seeds</w:t>
      </w:r>
      <w:r>
        <w:rPr>
          <w:rFonts w:ascii="Times New Roman" w:eastAsia="Times New Roman" w:hAnsi="Times New Roman" w:cs="Times New Roman"/>
        </w:rPr>
        <w:t>.</w:t>
      </w:r>
      <w:r w:rsidR="005E7761">
        <w:rPr>
          <w:rFonts w:ascii="Times New Roman" w:eastAsia="Times New Roman" w:hAnsi="Times New Roman" w:cs="Times New Roman"/>
        </w:rPr>
        <w:t xml:space="preserve"> We also </w:t>
      </w:r>
      <w:r w:rsidR="00B412D6">
        <w:rPr>
          <w:rFonts w:ascii="Times New Roman" w:eastAsia="Times New Roman" w:hAnsi="Times New Roman" w:cs="Times New Roman"/>
        </w:rPr>
        <w:t xml:space="preserve">confirmed the face validity of the NVS </w:t>
      </w:r>
      <w:r w:rsidR="003A5574">
        <w:rPr>
          <w:rFonts w:ascii="Times New Roman" w:eastAsia="Times New Roman" w:hAnsi="Times New Roman" w:cs="Times New Roman"/>
        </w:rPr>
        <w:t xml:space="preserve">for </w:t>
      </w:r>
      <w:r w:rsidR="005466D7">
        <w:rPr>
          <w:rFonts w:ascii="Times New Roman" w:eastAsia="Times New Roman" w:hAnsi="Times New Roman" w:cs="Times New Roman"/>
        </w:rPr>
        <w:t xml:space="preserve">food </w:t>
      </w:r>
      <w:r w:rsidR="003A5574">
        <w:rPr>
          <w:rFonts w:ascii="Times New Roman" w:eastAsia="Times New Roman" w:hAnsi="Times New Roman" w:cs="Times New Roman"/>
        </w:rPr>
        <w:t xml:space="preserve">sub-groups in the Diet </w:t>
      </w:r>
      <w:r w:rsidR="00E46FCF">
        <w:rPr>
          <w:rFonts w:ascii="Times New Roman" w:eastAsia="Times New Roman" w:hAnsi="Times New Roman" w:cs="Times New Roman"/>
        </w:rPr>
        <w:t>Quality</w:t>
      </w:r>
      <w:r w:rsidR="003A5574">
        <w:rPr>
          <w:rFonts w:ascii="Times New Roman" w:eastAsia="Times New Roman" w:hAnsi="Times New Roman" w:cs="Times New Roman"/>
        </w:rPr>
        <w:t xml:space="preserve"> Questionnaire.</w:t>
      </w:r>
      <w:r>
        <w:rPr>
          <w:rFonts w:ascii="Times New Roman" w:eastAsia="Times New Roman" w:hAnsi="Times New Roman" w:cs="Times New Roman"/>
        </w:rPr>
        <w:t xml:space="preserve"> Both </w:t>
      </w:r>
      <w:r w:rsidR="003A5574">
        <w:rPr>
          <w:rFonts w:ascii="Times New Roman" w:eastAsia="Times New Roman" w:hAnsi="Times New Roman" w:cs="Times New Roman"/>
        </w:rPr>
        <w:t xml:space="preserve">Indonesia and Bangladesh </w:t>
      </w:r>
      <w:r>
        <w:rPr>
          <w:rFonts w:ascii="Times New Roman" w:eastAsia="Times New Roman" w:hAnsi="Times New Roman" w:cs="Times New Roman"/>
        </w:rPr>
        <w:t xml:space="preserve">face a double burden of undernutrition and noncommunicable diseases. </w:t>
      </w:r>
      <w:r w:rsidR="005C3D73">
        <w:rPr>
          <w:rFonts w:ascii="Times New Roman" w:eastAsia="Times New Roman" w:hAnsi="Times New Roman" w:cs="Times New Roman"/>
        </w:rPr>
        <w:t xml:space="preserve">In the main text </w:t>
      </w:r>
      <w:r>
        <w:rPr>
          <w:rFonts w:ascii="Times New Roman" w:eastAsia="Times New Roman" w:hAnsi="Times New Roman" w:cs="Times New Roman"/>
        </w:rPr>
        <w:t xml:space="preserve">we present the results </w:t>
      </w:r>
      <w:r w:rsidR="006567ED">
        <w:rPr>
          <w:rFonts w:ascii="Times New Roman" w:eastAsia="Times New Roman" w:hAnsi="Times New Roman" w:cs="Times New Roman"/>
        </w:rPr>
        <w:t xml:space="preserve">primarily </w:t>
      </w:r>
      <w:r>
        <w:rPr>
          <w:rFonts w:ascii="Times New Roman" w:eastAsia="Times New Roman" w:hAnsi="Times New Roman" w:cs="Times New Roman"/>
        </w:rPr>
        <w:t xml:space="preserve">for Indonesia, given the diversity of foods across and within food groups. Results for Bangladesh </w:t>
      </w:r>
      <w:r w:rsidR="0057511D">
        <w:rPr>
          <w:rFonts w:ascii="Times New Roman" w:eastAsia="Times New Roman" w:hAnsi="Times New Roman" w:cs="Times New Roman"/>
        </w:rPr>
        <w:t xml:space="preserve">specifically </w:t>
      </w:r>
      <w:r>
        <w:rPr>
          <w:rFonts w:ascii="Times New Roman" w:eastAsia="Times New Roman" w:hAnsi="Times New Roman" w:cs="Times New Roman"/>
        </w:rPr>
        <w:t xml:space="preserve">are available in the Supplementary </w:t>
      </w:r>
      <w:r w:rsidR="005D2210">
        <w:rPr>
          <w:rFonts w:ascii="Times New Roman" w:eastAsia="Times New Roman" w:hAnsi="Times New Roman" w:cs="Times New Roman"/>
        </w:rPr>
        <w:t>Material</w:t>
      </w:r>
      <w:r>
        <w:rPr>
          <w:rFonts w:ascii="Times New Roman" w:eastAsia="Times New Roman" w:hAnsi="Times New Roman" w:cs="Times New Roman"/>
        </w:rPr>
        <w:t>.</w:t>
      </w:r>
    </w:p>
    <w:p w14:paraId="56E753F2" w14:textId="77777777" w:rsidR="00C05F6D" w:rsidRDefault="00C05F6D">
      <w:pPr>
        <w:spacing w:line="480" w:lineRule="auto"/>
        <w:rPr>
          <w:rFonts w:ascii="Times New Roman" w:eastAsia="Times New Roman" w:hAnsi="Times New Roman" w:cs="Times New Roman"/>
        </w:rPr>
      </w:pPr>
    </w:p>
    <w:p w14:paraId="038C5910" w14:textId="506662BB"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t xml:space="preserve">No food scores high in all components. For example, </w:t>
      </w:r>
      <w:r w:rsidR="00531730">
        <w:rPr>
          <w:rFonts w:ascii="Times New Roman" w:eastAsia="Times New Roman" w:hAnsi="Times New Roman" w:cs="Times New Roman"/>
        </w:rPr>
        <w:t xml:space="preserve">in Indonesia </w:t>
      </w:r>
      <w:r>
        <w:rPr>
          <w:rFonts w:ascii="Times New Roman" w:eastAsia="Times New Roman" w:hAnsi="Times New Roman" w:cs="Times New Roman"/>
        </w:rPr>
        <w:t>spinach has the top mineral score (</w:t>
      </w:r>
      <w:r w:rsidR="00A85385">
        <w:rPr>
          <w:rFonts w:ascii="Times New Roman" w:eastAsia="Times New Roman" w:hAnsi="Times New Roman" w:cs="Times New Roman"/>
        </w:rPr>
        <w:t>9</w:t>
      </w:r>
      <w:r w:rsidR="008F2FC3">
        <w:rPr>
          <w:rFonts w:ascii="Times New Roman" w:eastAsia="Times New Roman" w:hAnsi="Times New Roman" w:cs="Times New Roman"/>
        </w:rPr>
        <w:t>0</w:t>
      </w:r>
      <w:r>
        <w:rPr>
          <w:rFonts w:ascii="Times New Roman" w:eastAsia="Times New Roman" w:hAnsi="Times New Roman" w:cs="Times New Roman"/>
        </w:rPr>
        <w:t xml:space="preserve">) yet an </w:t>
      </w:r>
      <w:r>
        <w:rPr>
          <w:rFonts w:ascii="Times New Roman" w:eastAsia="Times New Roman" w:hAnsi="Times New Roman" w:cs="Times New Roman"/>
          <w:i/>
        </w:rPr>
        <w:t>n</w:t>
      </w:r>
      <w:r>
        <w:rPr>
          <w:rFonts w:ascii="Times New Roman" w:eastAsia="Times New Roman" w:hAnsi="Times New Roman" w:cs="Times New Roman"/>
        </w:rPr>
        <w:t xml:space="preserve">-3 score of just </w:t>
      </w:r>
      <w:r w:rsidR="00A85385">
        <w:rPr>
          <w:rFonts w:ascii="Times New Roman" w:eastAsia="Times New Roman" w:hAnsi="Times New Roman" w:cs="Times New Roman"/>
        </w:rPr>
        <w:t>15</w:t>
      </w:r>
      <w:r>
        <w:rPr>
          <w:rFonts w:ascii="Times New Roman" w:eastAsia="Times New Roman" w:hAnsi="Times New Roman" w:cs="Times New Roman"/>
        </w:rPr>
        <w:t>, while chicken organs have the top vitamin score (</w:t>
      </w:r>
      <w:r w:rsidR="009E454F">
        <w:rPr>
          <w:rFonts w:ascii="Times New Roman" w:eastAsia="Times New Roman" w:hAnsi="Times New Roman" w:cs="Times New Roman"/>
        </w:rPr>
        <w:t>92</w:t>
      </w:r>
      <w:r>
        <w:rPr>
          <w:rFonts w:ascii="Times New Roman" w:eastAsia="Times New Roman" w:hAnsi="Times New Roman" w:cs="Times New Roman"/>
        </w:rPr>
        <w:t xml:space="preserve">) yet fiber and </w:t>
      </w:r>
      <w:r>
        <w:rPr>
          <w:rFonts w:ascii="Times New Roman" w:eastAsia="Times New Roman" w:hAnsi="Times New Roman" w:cs="Times New Roman"/>
          <w:i/>
        </w:rPr>
        <w:t>n</w:t>
      </w:r>
      <w:r>
        <w:rPr>
          <w:rFonts w:ascii="Times New Roman" w:eastAsia="Times New Roman" w:hAnsi="Times New Roman" w:cs="Times New Roman"/>
        </w:rPr>
        <w:t>-</w:t>
      </w:r>
      <w:r>
        <w:rPr>
          <w:rFonts w:ascii="Times New Roman" w:eastAsia="Times New Roman" w:hAnsi="Times New Roman" w:cs="Times New Roman"/>
          <w:i/>
        </w:rPr>
        <w:t>3</w:t>
      </w:r>
      <w:r>
        <w:rPr>
          <w:rFonts w:ascii="Times New Roman" w:eastAsia="Times New Roman" w:hAnsi="Times New Roman" w:cs="Times New Roman"/>
        </w:rPr>
        <w:t xml:space="preserve"> scores of just 1 (Table 1). Foods with the highest vitamin scores are chicken organs, beef organs, and dark green leafy vegetables like spinach and </w:t>
      </w:r>
      <w:r w:rsidR="00986D10">
        <w:rPr>
          <w:rFonts w:ascii="Times New Roman" w:eastAsia="Times New Roman" w:hAnsi="Times New Roman" w:cs="Times New Roman"/>
        </w:rPr>
        <w:t xml:space="preserve">moringa </w:t>
      </w:r>
      <w:r>
        <w:rPr>
          <w:rFonts w:ascii="Times New Roman" w:eastAsia="Times New Roman" w:hAnsi="Times New Roman" w:cs="Times New Roman"/>
        </w:rPr>
        <w:t>leaves, while foods with the lowest vitamin scores include</w:t>
      </w:r>
      <w:r w:rsidR="006528D1">
        <w:rPr>
          <w:rFonts w:ascii="Times New Roman" w:eastAsia="Times New Roman" w:hAnsi="Times New Roman" w:cs="Times New Roman"/>
        </w:rPr>
        <w:t xml:space="preserve"> certain starchy staples like white rice</w:t>
      </w:r>
      <w:r w:rsidR="003E67D3">
        <w:rPr>
          <w:rFonts w:ascii="Times New Roman" w:eastAsia="Times New Roman" w:hAnsi="Times New Roman" w:cs="Times New Roman"/>
        </w:rPr>
        <w:t xml:space="preserve"> noodles and refined wheat pasta</w:t>
      </w:r>
      <w:r w:rsidR="006528D1">
        <w:rPr>
          <w:rFonts w:ascii="Times New Roman" w:eastAsia="Times New Roman" w:hAnsi="Times New Roman" w:cs="Times New Roman"/>
        </w:rPr>
        <w:t>,</w:t>
      </w:r>
      <w:r>
        <w:rPr>
          <w:rFonts w:ascii="Times New Roman" w:eastAsia="Times New Roman" w:hAnsi="Times New Roman" w:cs="Times New Roman"/>
        </w:rPr>
        <w:t xml:space="preserve"> fruits like coconut and watermelon</w:t>
      </w:r>
      <w:r w:rsidR="006528D1">
        <w:rPr>
          <w:rFonts w:ascii="Times New Roman" w:eastAsia="Times New Roman" w:hAnsi="Times New Roman" w:cs="Times New Roman"/>
        </w:rPr>
        <w:t>,</w:t>
      </w:r>
      <w:r>
        <w:rPr>
          <w:rFonts w:ascii="Times New Roman" w:eastAsia="Times New Roman" w:hAnsi="Times New Roman" w:cs="Times New Roman"/>
        </w:rPr>
        <w:t xml:space="preserve"> and certain </w:t>
      </w:r>
      <w:r w:rsidR="006528D1">
        <w:rPr>
          <w:rFonts w:ascii="Times New Roman" w:eastAsia="Times New Roman" w:hAnsi="Times New Roman" w:cs="Times New Roman"/>
        </w:rPr>
        <w:t>legumes</w:t>
      </w:r>
      <w:r>
        <w:rPr>
          <w:rFonts w:ascii="Times New Roman" w:eastAsia="Times New Roman" w:hAnsi="Times New Roman" w:cs="Times New Roman"/>
        </w:rPr>
        <w:t xml:space="preserve"> like </w:t>
      </w:r>
      <w:r w:rsidR="006528D1">
        <w:rPr>
          <w:rFonts w:ascii="Times New Roman" w:eastAsia="Times New Roman" w:hAnsi="Times New Roman" w:cs="Times New Roman"/>
        </w:rPr>
        <w:t>oncom</w:t>
      </w:r>
      <w:r w:rsidR="002B3F54">
        <w:rPr>
          <w:rFonts w:ascii="Times New Roman" w:eastAsia="Times New Roman" w:hAnsi="Times New Roman" w:cs="Times New Roman"/>
        </w:rPr>
        <w:t xml:space="preserve"> and tofu</w:t>
      </w:r>
      <w:r>
        <w:rPr>
          <w:rFonts w:ascii="Times New Roman" w:eastAsia="Times New Roman" w:hAnsi="Times New Roman" w:cs="Times New Roman"/>
        </w:rPr>
        <w:t>. Mineral scores are highest for dark green leafy vegetables like spinach and pumpkin leaves, chicken organs, and nuts and seeds like cashews and sunflower seeds, but are lowest for</w:t>
      </w:r>
      <w:r w:rsidR="00DE5925">
        <w:rPr>
          <w:rFonts w:ascii="Times New Roman" w:eastAsia="Times New Roman" w:hAnsi="Times New Roman" w:cs="Times New Roman"/>
        </w:rPr>
        <w:t xml:space="preserve"> certain starchy staples like white rice noodles and white rice,</w:t>
      </w:r>
      <w:r>
        <w:rPr>
          <w:rFonts w:ascii="Times New Roman" w:eastAsia="Times New Roman" w:hAnsi="Times New Roman" w:cs="Times New Roman"/>
        </w:rPr>
        <w:t xml:space="preserve"> fruits like watermelon and </w:t>
      </w:r>
      <w:r>
        <w:rPr>
          <w:rFonts w:ascii="Times New Roman" w:eastAsia="Times New Roman" w:hAnsi="Times New Roman" w:cs="Times New Roman"/>
        </w:rPr>
        <w:lastRenderedPageBreak/>
        <w:t xml:space="preserve">apple, </w:t>
      </w:r>
      <w:r w:rsidR="00027A85">
        <w:rPr>
          <w:rFonts w:ascii="Times New Roman" w:eastAsia="Times New Roman" w:hAnsi="Times New Roman" w:cs="Times New Roman"/>
        </w:rPr>
        <w:t xml:space="preserve">and </w:t>
      </w:r>
      <w:r>
        <w:rPr>
          <w:rFonts w:ascii="Times New Roman" w:eastAsia="Times New Roman" w:hAnsi="Times New Roman" w:cs="Times New Roman"/>
        </w:rPr>
        <w:t xml:space="preserve">certain vegetables like tree fern and eggplant. Lean meats like boar and rabbit have the highest essential amino acids scores followed by other animal source foods and, to a lesser extent, soy products like tempeh, whereas starchy staples like cassava and </w:t>
      </w:r>
      <w:r w:rsidR="00CF042D">
        <w:rPr>
          <w:rFonts w:ascii="Times New Roman" w:eastAsia="Times New Roman" w:hAnsi="Times New Roman" w:cs="Times New Roman"/>
        </w:rPr>
        <w:t xml:space="preserve">sweet </w:t>
      </w:r>
      <w:r>
        <w:rPr>
          <w:rFonts w:ascii="Times New Roman" w:eastAsia="Times New Roman" w:hAnsi="Times New Roman" w:cs="Times New Roman"/>
        </w:rPr>
        <w:t xml:space="preserve">corn have the lowest essential amino acids scores followed by fruits like apple and pear. Lastly, </w:t>
      </w:r>
      <w:r w:rsidR="006D3EA1">
        <w:rPr>
          <w:rFonts w:ascii="Times New Roman" w:eastAsia="Times New Roman" w:hAnsi="Times New Roman" w:cs="Times New Roman"/>
        </w:rPr>
        <w:t xml:space="preserve">fatty </w:t>
      </w:r>
      <w:r>
        <w:rPr>
          <w:rFonts w:ascii="Times New Roman" w:eastAsia="Times New Roman" w:hAnsi="Times New Roman" w:cs="Times New Roman"/>
        </w:rPr>
        <w:t xml:space="preserve">fish, bivalves, and crustaceans are the only high scoring foods in terms of </w:t>
      </w:r>
      <w:r>
        <w:rPr>
          <w:rFonts w:ascii="Times New Roman" w:eastAsia="Times New Roman" w:hAnsi="Times New Roman" w:cs="Times New Roman"/>
          <w:i/>
        </w:rPr>
        <w:t>n</w:t>
      </w:r>
      <w:r>
        <w:rPr>
          <w:rFonts w:ascii="Times New Roman" w:eastAsia="Times New Roman" w:hAnsi="Times New Roman" w:cs="Times New Roman"/>
        </w:rPr>
        <w:t>-3 content. Foods with the highest overall Nutrient Density Scores are organ meats, dark green leafy vegetables, and certain lean animal flesh foods like deer and bivalves, while the foods with the lowest Nutrient Density Scores are primarily starchy staples and fruits.</w:t>
      </w:r>
    </w:p>
    <w:p w14:paraId="3A416EBD" w14:textId="77777777" w:rsidR="00C05F6D" w:rsidRDefault="00C05F6D">
      <w:pPr>
        <w:spacing w:line="480" w:lineRule="auto"/>
        <w:rPr>
          <w:rFonts w:ascii="Times New Roman" w:eastAsia="Times New Roman" w:hAnsi="Times New Roman" w:cs="Times New Roman"/>
        </w:rPr>
      </w:pPr>
    </w:p>
    <w:p w14:paraId="7B421DC7" w14:textId="06EDCBA9" w:rsidR="00C05F6D" w:rsidRDefault="000D22B3" w:rsidP="005B36A8">
      <w:pPr>
        <w:spacing w:line="480" w:lineRule="auto"/>
        <w:rPr>
          <w:rFonts w:ascii="Times New Roman" w:eastAsia="Times New Roman" w:hAnsi="Times New Roman" w:cs="Times New Roman"/>
        </w:rPr>
      </w:pPr>
      <w:r>
        <w:rPr>
          <w:rFonts w:ascii="Times New Roman" w:eastAsia="Times New Roman" w:hAnsi="Times New Roman" w:cs="Times New Roman"/>
        </w:rPr>
        <w:t xml:space="preserve">For fiber, the food with the top score is </w:t>
      </w:r>
      <w:r w:rsidR="00A22E85">
        <w:rPr>
          <w:rFonts w:ascii="Times New Roman" w:eastAsia="Times New Roman" w:hAnsi="Times New Roman" w:cs="Times New Roman"/>
        </w:rPr>
        <w:t>pumpkin leaves</w:t>
      </w:r>
      <w:r>
        <w:rPr>
          <w:rFonts w:ascii="Times New Roman" w:eastAsia="Times New Roman" w:hAnsi="Times New Roman" w:cs="Times New Roman"/>
        </w:rPr>
        <w:t xml:space="preserve"> followed by beans and seeds like mung beans and sunflower seeds, while the lowest fiber scores are attributed to animal source foods, congee, certain fruits like watermelon and snake fruit, as well as oncom and soy milk. </w:t>
      </w:r>
      <w:r w:rsidR="009C7AD5">
        <w:rPr>
          <w:rFonts w:ascii="Times New Roman" w:eastAsia="Times New Roman" w:hAnsi="Times New Roman" w:cs="Times New Roman"/>
        </w:rPr>
        <w:t xml:space="preserve">For </w:t>
      </w:r>
      <w:r w:rsidR="007E29CF">
        <w:rPr>
          <w:rFonts w:ascii="Times New Roman" w:eastAsia="Times New Roman" w:hAnsi="Times New Roman" w:cs="Times New Roman"/>
        </w:rPr>
        <w:t>C</w:t>
      </w:r>
      <w:r w:rsidR="009C7AD5">
        <w:rPr>
          <w:rFonts w:ascii="Times New Roman" w:eastAsia="Times New Roman" w:hAnsi="Times New Roman" w:cs="Times New Roman"/>
        </w:rPr>
        <w:t xml:space="preserve">alories, the food with the </w:t>
      </w:r>
      <w:r w:rsidR="00AB1CCA">
        <w:rPr>
          <w:rFonts w:ascii="Times New Roman" w:eastAsia="Times New Roman" w:hAnsi="Times New Roman" w:cs="Times New Roman"/>
        </w:rPr>
        <w:t>lowest</w:t>
      </w:r>
      <w:r w:rsidR="009C7AD5">
        <w:rPr>
          <w:rFonts w:ascii="Times New Roman" w:eastAsia="Times New Roman" w:hAnsi="Times New Roman" w:cs="Times New Roman"/>
        </w:rPr>
        <w:t xml:space="preserve"> score </w:t>
      </w:r>
      <w:r w:rsidR="00677A32">
        <w:rPr>
          <w:rFonts w:ascii="Times New Roman" w:eastAsia="Times New Roman" w:hAnsi="Times New Roman" w:cs="Times New Roman"/>
        </w:rPr>
        <w:t>is</w:t>
      </w:r>
      <w:r w:rsidR="009C7AD5">
        <w:rPr>
          <w:rFonts w:ascii="Times New Roman" w:eastAsia="Times New Roman" w:hAnsi="Times New Roman" w:cs="Times New Roman"/>
        </w:rPr>
        <w:t xml:space="preserve"> peanut butter, while most foods received the </w:t>
      </w:r>
      <w:r w:rsidR="00AB1CCA">
        <w:rPr>
          <w:rFonts w:ascii="Times New Roman" w:eastAsia="Times New Roman" w:hAnsi="Times New Roman" w:cs="Times New Roman"/>
        </w:rPr>
        <w:t>top</w:t>
      </w:r>
      <w:r w:rsidR="009C7AD5">
        <w:rPr>
          <w:rFonts w:ascii="Times New Roman" w:eastAsia="Times New Roman" w:hAnsi="Times New Roman" w:cs="Times New Roman"/>
        </w:rPr>
        <w:t xml:space="preserve"> </w:t>
      </w:r>
      <w:r w:rsidR="000A7765">
        <w:rPr>
          <w:rFonts w:ascii="Times New Roman" w:eastAsia="Times New Roman" w:hAnsi="Times New Roman" w:cs="Times New Roman"/>
        </w:rPr>
        <w:t>score since</w:t>
      </w:r>
      <w:r w:rsidR="009C7AD5">
        <w:rPr>
          <w:rFonts w:ascii="Times New Roman" w:eastAsia="Times New Roman" w:hAnsi="Times New Roman" w:cs="Times New Roman"/>
        </w:rPr>
        <w:t xml:space="preserve"> they fell below the </w:t>
      </w:r>
      <w:r w:rsidR="007E29CF">
        <w:rPr>
          <w:rFonts w:ascii="Times New Roman" w:eastAsia="Times New Roman" w:hAnsi="Times New Roman" w:cs="Times New Roman"/>
        </w:rPr>
        <w:t>C</w:t>
      </w:r>
      <w:r w:rsidR="009C7AD5">
        <w:rPr>
          <w:rFonts w:ascii="Times New Roman" w:eastAsia="Times New Roman" w:hAnsi="Times New Roman" w:cs="Times New Roman"/>
        </w:rPr>
        <w:t xml:space="preserve">alorie density cutoff of 1.3 </w:t>
      </w:r>
      <w:r w:rsidR="007E29CF">
        <w:rPr>
          <w:rFonts w:ascii="Times New Roman" w:eastAsia="Times New Roman" w:hAnsi="Times New Roman" w:cs="Times New Roman"/>
        </w:rPr>
        <w:t>C</w:t>
      </w:r>
      <w:r w:rsidR="009C7AD5">
        <w:rPr>
          <w:rFonts w:ascii="Times New Roman" w:eastAsia="Times New Roman" w:hAnsi="Times New Roman" w:cs="Times New Roman"/>
        </w:rPr>
        <w:t xml:space="preserve">alories/gram. </w:t>
      </w:r>
      <w:r w:rsidR="003A335B">
        <w:rPr>
          <w:rFonts w:ascii="Times New Roman" w:eastAsia="Times New Roman" w:hAnsi="Times New Roman" w:cs="Times New Roman"/>
        </w:rPr>
        <w:t>S</w:t>
      </w:r>
      <w:r w:rsidR="00D76816">
        <w:rPr>
          <w:rFonts w:ascii="Times New Roman" w:eastAsia="Times New Roman" w:hAnsi="Times New Roman" w:cs="Times New Roman"/>
        </w:rPr>
        <w:t>imilarly, m</w:t>
      </w:r>
      <w:r>
        <w:rPr>
          <w:rFonts w:ascii="Times New Roman" w:eastAsia="Times New Roman" w:hAnsi="Times New Roman" w:cs="Times New Roman"/>
        </w:rPr>
        <w:t>ost foods score highly on nutrient ratios since they are</w:t>
      </w:r>
      <w:r w:rsidR="00BD77C1">
        <w:rPr>
          <w:rFonts w:ascii="Times New Roman" w:eastAsia="Times New Roman" w:hAnsi="Times New Roman" w:cs="Times New Roman"/>
        </w:rPr>
        <w:t xml:space="preserve"> all</w:t>
      </w:r>
      <w:r>
        <w:rPr>
          <w:rFonts w:ascii="Times New Roman" w:eastAsia="Times New Roman" w:hAnsi="Times New Roman" w:cs="Times New Roman"/>
        </w:rPr>
        <w:t xml:space="preserve"> foods recommended in dietary guidelines, excluding ultraprocessed foods</w:t>
      </w:r>
      <w:r w:rsidR="00BD77C1">
        <w:rPr>
          <w:rFonts w:ascii="Times New Roman" w:eastAsia="Times New Roman" w:hAnsi="Times New Roman" w:cs="Times New Roman"/>
        </w:rPr>
        <w:t>, which tend to score poorly on nutrient ratios</w:t>
      </w:r>
      <w:r>
        <w:rPr>
          <w:rFonts w:ascii="Times New Roman" w:eastAsia="Times New Roman" w:hAnsi="Times New Roman" w:cs="Times New Roman"/>
        </w:rPr>
        <w:t>. The lowest scoring food</w:t>
      </w:r>
      <w:r w:rsidR="00C01489">
        <w:rPr>
          <w:rFonts w:ascii="Times New Roman" w:eastAsia="Times New Roman" w:hAnsi="Times New Roman" w:cs="Times New Roman"/>
        </w:rPr>
        <w:t xml:space="preserve"> by far</w:t>
      </w:r>
      <w:r>
        <w:rPr>
          <w:rFonts w:ascii="Times New Roman" w:eastAsia="Times New Roman" w:hAnsi="Times New Roman" w:cs="Times New Roman"/>
        </w:rPr>
        <w:t xml:space="preserve"> is congee followed, to a much lesser extent, by </w:t>
      </w:r>
      <w:r w:rsidR="005B36A8">
        <w:rPr>
          <w:rFonts w:ascii="Times New Roman" w:eastAsia="Times New Roman" w:hAnsi="Times New Roman" w:cs="Times New Roman"/>
        </w:rPr>
        <w:t>coconut, white rice, snake fruit, oncom, and full-fat cheese</w:t>
      </w:r>
      <w:r>
        <w:rPr>
          <w:rFonts w:ascii="Times New Roman" w:eastAsia="Times New Roman" w:hAnsi="Times New Roman" w:cs="Times New Roman"/>
        </w:rPr>
        <w:t>.</w:t>
      </w:r>
    </w:p>
    <w:p w14:paraId="327D4252" w14:textId="77777777" w:rsidR="00C05F6D" w:rsidRDefault="00C05F6D">
      <w:pPr>
        <w:spacing w:line="480" w:lineRule="auto"/>
        <w:rPr>
          <w:rFonts w:ascii="Times New Roman" w:eastAsia="Times New Roman" w:hAnsi="Times New Roman" w:cs="Times New Roman"/>
        </w:rPr>
      </w:pPr>
    </w:p>
    <w:p w14:paraId="0A661457" w14:textId="77777777" w:rsidR="00C05F6D" w:rsidRPr="00304CAE" w:rsidRDefault="000D22B3">
      <w:pPr>
        <w:spacing w:line="480" w:lineRule="auto"/>
        <w:rPr>
          <w:rFonts w:ascii="Times New Roman" w:eastAsia="Times New Roman" w:hAnsi="Times New Roman" w:cs="Times New Roman"/>
          <w:b/>
        </w:rPr>
      </w:pPr>
      <w:r w:rsidRPr="00304CAE">
        <w:rPr>
          <w:rFonts w:ascii="Times New Roman" w:eastAsia="Times New Roman" w:hAnsi="Times New Roman" w:cs="Times New Roman"/>
          <w:b/>
        </w:rPr>
        <w:t>Nutritional Value Scores</w:t>
      </w:r>
    </w:p>
    <w:p w14:paraId="4367BB9C" w14:textId="67658F58" w:rsidR="003A7AE8" w:rsidRDefault="000D22B3" w:rsidP="00E43A8F">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NVS can be used to compare the nutritional value of </w:t>
      </w:r>
      <w:r w:rsidR="00506E9C">
        <w:rPr>
          <w:rFonts w:ascii="Times New Roman" w:eastAsia="Times New Roman" w:hAnsi="Times New Roman" w:cs="Times New Roman"/>
        </w:rPr>
        <w:t xml:space="preserve">food groups and </w:t>
      </w:r>
      <w:r w:rsidR="004C064A">
        <w:rPr>
          <w:rFonts w:ascii="Times New Roman" w:eastAsia="Times New Roman" w:hAnsi="Times New Roman" w:cs="Times New Roman"/>
        </w:rPr>
        <w:t xml:space="preserve">single </w:t>
      </w:r>
      <w:r w:rsidR="00506E9C">
        <w:rPr>
          <w:rFonts w:ascii="Times New Roman" w:eastAsia="Times New Roman" w:hAnsi="Times New Roman" w:cs="Times New Roman"/>
        </w:rPr>
        <w:t>foods</w:t>
      </w:r>
      <w:r w:rsidR="00CE75F2">
        <w:rPr>
          <w:rFonts w:ascii="Times New Roman" w:eastAsia="Times New Roman" w:hAnsi="Times New Roman" w:cs="Times New Roman"/>
        </w:rPr>
        <w:t xml:space="preserve">, </w:t>
      </w:r>
      <w:r w:rsidR="00144976">
        <w:rPr>
          <w:rFonts w:ascii="Times New Roman" w:eastAsia="Times New Roman" w:hAnsi="Times New Roman" w:cs="Times New Roman"/>
        </w:rPr>
        <w:t>and it can be</w:t>
      </w:r>
      <w:r w:rsidR="00CE75F2">
        <w:rPr>
          <w:rFonts w:ascii="Times New Roman" w:eastAsia="Times New Roman" w:hAnsi="Times New Roman" w:cs="Times New Roman"/>
        </w:rPr>
        <w:t xml:space="preserve"> </w:t>
      </w:r>
      <w:r w:rsidR="00D32842">
        <w:rPr>
          <w:rFonts w:ascii="Times New Roman" w:eastAsia="Times New Roman" w:hAnsi="Times New Roman" w:cs="Times New Roman"/>
        </w:rPr>
        <w:t xml:space="preserve">calculated for </w:t>
      </w:r>
      <w:r w:rsidR="00CE75F2">
        <w:rPr>
          <w:rFonts w:ascii="Times New Roman" w:eastAsia="Times New Roman" w:hAnsi="Times New Roman" w:cs="Times New Roman"/>
        </w:rPr>
        <w:t>total diets</w:t>
      </w:r>
      <w:r w:rsidR="00FB32F4">
        <w:rPr>
          <w:rFonts w:ascii="Times New Roman" w:eastAsia="Times New Roman" w:hAnsi="Times New Roman" w:cs="Times New Roman"/>
        </w:rPr>
        <w:t>.</w:t>
      </w:r>
      <w:r w:rsidR="00AA47BD">
        <w:rPr>
          <w:rFonts w:ascii="Times New Roman" w:eastAsia="Times New Roman" w:hAnsi="Times New Roman" w:cs="Times New Roman"/>
        </w:rPr>
        <w:t xml:space="preserve"> </w:t>
      </w:r>
      <w:r w:rsidR="00E714C5">
        <w:rPr>
          <w:rFonts w:ascii="Times New Roman" w:eastAsia="Times New Roman" w:hAnsi="Times New Roman" w:cs="Times New Roman"/>
        </w:rPr>
        <w:t xml:space="preserve">Aggregating across </w:t>
      </w:r>
      <w:r w:rsidR="00DC1DD6">
        <w:rPr>
          <w:rFonts w:ascii="Times New Roman" w:eastAsia="Times New Roman" w:hAnsi="Times New Roman" w:cs="Times New Roman"/>
        </w:rPr>
        <w:t>recommended food groups in the Diet Quality Questionnaire</w:t>
      </w:r>
      <w:r w:rsidR="00B46052">
        <w:rPr>
          <w:rFonts w:ascii="Times New Roman" w:eastAsia="Times New Roman" w:hAnsi="Times New Roman" w:cs="Times New Roman"/>
        </w:rPr>
        <w:t>s</w:t>
      </w:r>
      <w:r w:rsidR="00DC1DD6">
        <w:rPr>
          <w:rFonts w:ascii="Times New Roman" w:eastAsia="Times New Roman" w:hAnsi="Times New Roman" w:cs="Times New Roman"/>
        </w:rPr>
        <w:t xml:space="preserve"> in </w:t>
      </w:r>
      <w:r w:rsidR="00E714C5">
        <w:rPr>
          <w:rFonts w:ascii="Times New Roman" w:eastAsia="Times New Roman" w:hAnsi="Times New Roman" w:cs="Times New Roman"/>
        </w:rPr>
        <w:t>Indonesia and Bangladesh, t</w:t>
      </w:r>
      <w:r w:rsidR="002674AC">
        <w:rPr>
          <w:rFonts w:ascii="Times New Roman" w:eastAsia="Times New Roman" w:hAnsi="Times New Roman" w:cs="Times New Roman"/>
        </w:rPr>
        <w:t>he highest scoring</w:t>
      </w:r>
      <w:r w:rsidR="004C55BA">
        <w:rPr>
          <w:rFonts w:ascii="Times New Roman" w:eastAsia="Times New Roman" w:hAnsi="Times New Roman" w:cs="Times New Roman"/>
        </w:rPr>
        <w:t xml:space="preserve"> food groups</w:t>
      </w:r>
      <w:r w:rsidR="002674AC">
        <w:rPr>
          <w:rFonts w:ascii="Times New Roman" w:eastAsia="Times New Roman" w:hAnsi="Times New Roman" w:cs="Times New Roman"/>
        </w:rPr>
        <w:t xml:space="preserve"> </w:t>
      </w:r>
      <w:r w:rsidR="00DF5EBD">
        <w:rPr>
          <w:rFonts w:ascii="Times New Roman" w:eastAsia="Times New Roman" w:hAnsi="Times New Roman" w:cs="Times New Roman"/>
        </w:rPr>
        <w:t>(NVS &gt; 75)</w:t>
      </w:r>
      <w:r w:rsidR="002674AC">
        <w:rPr>
          <w:rFonts w:ascii="Times New Roman" w:eastAsia="Times New Roman" w:hAnsi="Times New Roman" w:cs="Times New Roman"/>
        </w:rPr>
        <w:t xml:space="preserve"> </w:t>
      </w:r>
      <w:r w:rsidR="00BC2371">
        <w:rPr>
          <w:rFonts w:ascii="Times New Roman" w:eastAsia="Times New Roman" w:hAnsi="Times New Roman" w:cs="Times New Roman"/>
        </w:rPr>
        <w:t>are</w:t>
      </w:r>
      <w:r w:rsidR="002674AC">
        <w:rPr>
          <w:rFonts w:ascii="Times New Roman" w:eastAsia="Times New Roman" w:hAnsi="Times New Roman" w:cs="Times New Roman"/>
        </w:rPr>
        <w:t xml:space="preserve"> organ meat, dark green leafy vegetables, and fish and seafood</w:t>
      </w:r>
      <w:r w:rsidR="00C93E3A">
        <w:rPr>
          <w:rFonts w:ascii="Times New Roman" w:eastAsia="Times New Roman" w:hAnsi="Times New Roman" w:cs="Times New Roman"/>
        </w:rPr>
        <w:t xml:space="preserve"> (Fig. 2)</w:t>
      </w:r>
      <w:r w:rsidR="008538D8">
        <w:rPr>
          <w:rFonts w:ascii="Times New Roman" w:eastAsia="Times New Roman" w:hAnsi="Times New Roman" w:cs="Times New Roman"/>
        </w:rPr>
        <w:t>.</w:t>
      </w:r>
      <w:r w:rsidR="00BC2371">
        <w:rPr>
          <w:rFonts w:ascii="Times New Roman" w:eastAsia="Times New Roman" w:hAnsi="Times New Roman" w:cs="Times New Roman"/>
        </w:rPr>
        <w:t xml:space="preserve"> </w:t>
      </w:r>
      <w:r w:rsidR="0048098F">
        <w:rPr>
          <w:rFonts w:ascii="Times New Roman" w:eastAsia="Times New Roman" w:hAnsi="Times New Roman" w:cs="Times New Roman"/>
        </w:rPr>
        <w:t xml:space="preserve">Moderately high scoring food groups (NVS 50–75) include unprocessed red meat, poultry, other </w:t>
      </w:r>
      <w:r w:rsidR="0048098F">
        <w:rPr>
          <w:rFonts w:ascii="Times New Roman" w:eastAsia="Times New Roman" w:hAnsi="Times New Roman" w:cs="Times New Roman"/>
        </w:rPr>
        <w:lastRenderedPageBreak/>
        <w:t>vegetables, vitamin A-rich vegetables, eggs, legumes, nuts, seeds, and</w:t>
      </w:r>
      <w:r w:rsidR="00995237">
        <w:rPr>
          <w:rFonts w:ascii="Times New Roman" w:eastAsia="Times New Roman" w:hAnsi="Times New Roman" w:cs="Times New Roman"/>
        </w:rPr>
        <w:t xml:space="preserve"> minimally processed dairy</w:t>
      </w:r>
      <w:r w:rsidR="00C2093D">
        <w:rPr>
          <w:rFonts w:ascii="Times New Roman" w:eastAsia="Times New Roman" w:hAnsi="Times New Roman" w:cs="Times New Roman"/>
        </w:rPr>
        <w:t xml:space="preserve"> (Fig. 2)</w:t>
      </w:r>
      <w:r w:rsidR="00995237">
        <w:rPr>
          <w:rFonts w:ascii="Times New Roman" w:eastAsia="Times New Roman" w:hAnsi="Times New Roman" w:cs="Times New Roman"/>
        </w:rPr>
        <w:t xml:space="preserve">. </w:t>
      </w:r>
      <w:r w:rsidR="006072D5">
        <w:rPr>
          <w:rFonts w:ascii="Times New Roman" w:eastAsia="Times New Roman" w:hAnsi="Times New Roman" w:cs="Times New Roman"/>
        </w:rPr>
        <w:t>Moderately low scoring food groups (NVS 25–49) include</w:t>
      </w:r>
      <w:r w:rsidR="004900AB">
        <w:rPr>
          <w:rFonts w:ascii="Times New Roman" w:eastAsia="Times New Roman" w:hAnsi="Times New Roman" w:cs="Times New Roman"/>
        </w:rPr>
        <w:t xml:space="preserve"> whole grains</w:t>
      </w:r>
      <w:r w:rsidR="00EC38F9">
        <w:rPr>
          <w:rFonts w:ascii="Times New Roman" w:eastAsia="Times New Roman" w:hAnsi="Times New Roman" w:cs="Times New Roman"/>
        </w:rPr>
        <w:t>,</w:t>
      </w:r>
      <w:r w:rsidR="004900AB">
        <w:rPr>
          <w:rFonts w:ascii="Times New Roman" w:eastAsia="Times New Roman" w:hAnsi="Times New Roman" w:cs="Times New Roman"/>
        </w:rPr>
        <w:t xml:space="preserve"> white roots, tubers,</w:t>
      </w:r>
      <w:r w:rsidR="00B1572E">
        <w:rPr>
          <w:rFonts w:ascii="Times New Roman" w:eastAsia="Times New Roman" w:hAnsi="Times New Roman" w:cs="Times New Roman"/>
        </w:rPr>
        <w:t xml:space="preserve"> and</w:t>
      </w:r>
      <w:r w:rsidR="004900AB">
        <w:rPr>
          <w:rFonts w:ascii="Times New Roman" w:eastAsia="Times New Roman" w:hAnsi="Times New Roman" w:cs="Times New Roman"/>
        </w:rPr>
        <w:t xml:space="preserve"> plantains, other fruits, citrus, and </w:t>
      </w:r>
      <w:r w:rsidR="00D10ECC">
        <w:rPr>
          <w:rFonts w:ascii="Times New Roman" w:eastAsia="Times New Roman" w:hAnsi="Times New Roman" w:cs="Times New Roman"/>
        </w:rPr>
        <w:t>vitamin A-rich fruits</w:t>
      </w:r>
      <w:r w:rsidR="004900AB">
        <w:rPr>
          <w:rFonts w:ascii="Times New Roman" w:eastAsia="Times New Roman" w:hAnsi="Times New Roman" w:cs="Times New Roman"/>
        </w:rPr>
        <w:t xml:space="preserve"> </w:t>
      </w:r>
      <w:r w:rsidR="004477CE">
        <w:rPr>
          <w:rFonts w:ascii="Times New Roman" w:eastAsia="Times New Roman" w:hAnsi="Times New Roman" w:cs="Times New Roman"/>
        </w:rPr>
        <w:t>(Fig. 2)</w:t>
      </w:r>
      <w:r w:rsidR="00C2093D">
        <w:rPr>
          <w:rFonts w:ascii="Times New Roman" w:eastAsia="Times New Roman" w:hAnsi="Times New Roman" w:cs="Times New Roman"/>
        </w:rPr>
        <w:t>.</w:t>
      </w:r>
      <w:r w:rsidR="00680DB8">
        <w:rPr>
          <w:rFonts w:ascii="Times New Roman" w:eastAsia="Times New Roman" w:hAnsi="Times New Roman" w:cs="Times New Roman"/>
        </w:rPr>
        <w:t xml:space="preserve"> </w:t>
      </w:r>
      <w:r w:rsidR="00513336">
        <w:rPr>
          <w:rFonts w:ascii="Times New Roman" w:eastAsia="Times New Roman" w:hAnsi="Times New Roman" w:cs="Times New Roman"/>
        </w:rPr>
        <w:t xml:space="preserve">The lowest scoring food group (NVS &lt; 25) </w:t>
      </w:r>
      <w:r w:rsidR="004E776A">
        <w:rPr>
          <w:rFonts w:ascii="Times New Roman" w:eastAsia="Times New Roman" w:hAnsi="Times New Roman" w:cs="Times New Roman"/>
        </w:rPr>
        <w:t>is</w:t>
      </w:r>
      <w:r w:rsidR="00CA7C26">
        <w:rPr>
          <w:rFonts w:ascii="Times New Roman" w:eastAsia="Times New Roman" w:hAnsi="Times New Roman" w:cs="Times New Roman"/>
        </w:rPr>
        <w:t xml:space="preserve"> refined grains</w:t>
      </w:r>
      <w:r w:rsidR="00C93E3A">
        <w:rPr>
          <w:rFonts w:ascii="Times New Roman" w:eastAsia="Times New Roman" w:hAnsi="Times New Roman" w:cs="Times New Roman"/>
        </w:rPr>
        <w:t xml:space="preserve"> (Fig 2)</w:t>
      </w:r>
      <w:r w:rsidR="004E776A">
        <w:rPr>
          <w:rFonts w:ascii="Times New Roman" w:eastAsia="Times New Roman" w:hAnsi="Times New Roman" w:cs="Times New Roman"/>
        </w:rPr>
        <w:t>.</w:t>
      </w:r>
    </w:p>
    <w:p w14:paraId="1C704422" w14:textId="6C22F6AF" w:rsidR="00DA66AD" w:rsidRDefault="00DA66AD" w:rsidP="00E53923">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145E9575" wp14:editId="41E68B96">
            <wp:extent cx="5257800" cy="3601185"/>
            <wp:effectExtent l="0" t="0" r="0" b="0"/>
            <wp:docPr id="22736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6857" name="Picture 22736857"/>
                    <pic:cNvPicPr/>
                  </pic:nvPicPr>
                  <pic:blipFill>
                    <a:blip r:embed="rId11">
                      <a:extLst>
                        <a:ext uri="{28A0092B-C50C-407E-A947-70E740481C1C}">
                          <a14:useLocalDpi xmlns:a14="http://schemas.microsoft.com/office/drawing/2010/main" val="0"/>
                        </a:ext>
                      </a:extLst>
                    </a:blip>
                    <a:stretch>
                      <a:fillRect/>
                    </a:stretch>
                  </pic:blipFill>
                  <pic:spPr>
                    <a:xfrm>
                      <a:off x="0" y="0"/>
                      <a:ext cx="5257800" cy="3601185"/>
                    </a:xfrm>
                    <a:prstGeom prst="rect">
                      <a:avLst/>
                    </a:prstGeom>
                  </pic:spPr>
                </pic:pic>
              </a:graphicData>
            </a:graphic>
          </wp:inline>
        </w:drawing>
      </w:r>
    </w:p>
    <w:p w14:paraId="602983B5" w14:textId="27DFAAFA" w:rsidR="00DA66AD" w:rsidRPr="00FC7303" w:rsidRDefault="00DA66AD" w:rsidP="00E53923">
      <w:pPr>
        <w:spacing w:line="480" w:lineRule="auto"/>
        <w:ind w:left="540" w:right="470"/>
        <w:rPr>
          <w:rFonts w:ascii="Times New Roman" w:eastAsia="Times New Roman" w:hAnsi="Times New Roman" w:cs="Times New Roman"/>
          <w:bCs/>
        </w:rPr>
      </w:pPr>
      <w:r>
        <w:rPr>
          <w:rFonts w:ascii="Times New Roman" w:eastAsia="Times New Roman" w:hAnsi="Times New Roman" w:cs="Times New Roman"/>
          <w:b/>
          <w:sz w:val="20"/>
          <w:szCs w:val="20"/>
        </w:rPr>
        <w:t xml:space="preserve">Fig. 2 | Nutritional Value Scores for </w:t>
      </w:r>
      <w:r w:rsidR="00EB6D08" w:rsidRPr="00EB6D08">
        <w:rPr>
          <w:rFonts w:ascii="Times New Roman" w:eastAsia="Times New Roman" w:hAnsi="Times New Roman" w:cs="Times New Roman"/>
          <w:b/>
          <w:sz w:val="20"/>
          <w:szCs w:val="20"/>
        </w:rPr>
        <w:t>recommended food groups in the Diet Quality Questionnaires in Indonesia and Bangladesh</w:t>
      </w:r>
      <w:r w:rsidR="00EB6D08">
        <w:rPr>
          <w:rFonts w:ascii="Times New Roman" w:eastAsia="Times New Roman" w:hAnsi="Times New Roman" w:cs="Times New Roman"/>
          <w:b/>
          <w:sz w:val="20"/>
          <w:szCs w:val="20"/>
        </w:rPr>
        <w:t>.</w:t>
      </w:r>
      <w:r w:rsidR="00FC7303">
        <w:rPr>
          <w:rFonts w:ascii="Times New Roman" w:eastAsia="Times New Roman" w:hAnsi="Times New Roman" w:cs="Times New Roman"/>
          <w:b/>
          <w:sz w:val="20"/>
          <w:szCs w:val="20"/>
        </w:rPr>
        <w:t xml:space="preserve"> </w:t>
      </w:r>
      <w:r w:rsidR="00FC7303" w:rsidRPr="00FC7303">
        <w:rPr>
          <w:rFonts w:ascii="Times New Roman" w:eastAsia="Times New Roman" w:hAnsi="Times New Roman" w:cs="Times New Roman"/>
          <w:bCs/>
          <w:sz w:val="20"/>
          <w:szCs w:val="20"/>
        </w:rPr>
        <w:t>The Nutritional Value Score rates foods by nutritional value. It is scaled from 1 (lowest) to 100 (highest).</w:t>
      </w:r>
      <w:r w:rsidR="0002637B">
        <w:rPr>
          <w:rFonts w:ascii="Times New Roman" w:eastAsia="Times New Roman" w:hAnsi="Times New Roman" w:cs="Times New Roman"/>
          <w:bCs/>
          <w:sz w:val="20"/>
          <w:szCs w:val="20"/>
        </w:rPr>
        <w:t xml:space="preserve"> Standard boxplots are shown, with the center line representing the median score, </w:t>
      </w:r>
      <w:r w:rsidR="0002637B" w:rsidRPr="0002637B">
        <w:rPr>
          <w:rFonts w:ascii="Times New Roman" w:eastAsia="Times New Roman" w:hAnsi="Times New Roman" w:cs="Times New Roman"/>
          <w:bCs/>
          <w:sz w:val="20"/>
          <w:szCs w:val="20"/>
        </w:rPr>
        <w:t xml:space="preserve">the shaded bars representing the interquartile range (25th to 75th percentiles), the error bars representing 1.5x </w:t>
      </w:r>
      <w:r w:rsidR="0002637B">
        <w:rPr>
          <w:rFonts w:ascii="Times New Roman" w:eastAsia="Times New Roman" w:hAnsi="Times New Roman" w:cs="Times New Roman"/>
          <w:bCs/>
          <w:sz w:val="20"/>
          <w:szCs w:val="20"/>
        </w:rPr>
        <w:t xml:space="preserve">the </w:t>
      </w:r>
      <w:r w:rsidR="0002637B" w:rsidRPr="0002637B">
        <w:rPr>
          <w:rFonts w:ascii="Times New Roman" w:eastAsia="Times New Roman" w:hAnsi="Times New Roman" w:cs="Times New Roman"/>
          <w:bCs/>
          <w:sz w:val="20"/>
          <w:szCs w:val="20"/>
        </w:rPr>
        <w:t>interquartile range, and the small circles representing outliers</w:t>
      </w:r>
      <w:r w:rsidR="0002637B">
        <w:rPr>
          <w:rFonts w:ascii="Times New Roman" w:eastAsia="Times New Roman" w:hAnsi="Times New Roman" w:cs="Times New Roman"/>
          <w:bCs/>
          <w:sz w:val="20"/>
          <w:szCs w:val="20"/>
        </w:rPr>
        <w:t>.</w:t>
      </w:r>
    </w:p>
    <w:p w14:paraId="18ECCCD6" w14:textId="77777777" w:rsidR="003A7AE8" w:rsidRDefault="003A7AE8">
      <w:pPr>
        <w:spacing w:line="480" w:lineRule="auto"/>
        <w:rPr>
          <w:rFonts w:ascii="Times New Roman" w:eastAsia="Times New Roman" w:hAnsi="Times New Roman" w:cs="Times New Roman"/>
        </w:rPr>
      </w:pPr>
    </w:p>
    <w:p w14:paraId="39E562D8" w14:textId="436FCF80"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t>Across foods</w:t>
      </w:r>
      <w:r w:rsidR="004243E9">
        <w:rPr>
          <w:rFonts w:ascii="Times New Roman" w:eastAsia="Times New Roman" w:hAnsi="Times New Roman" w:cs="Times New Roman"/>
        </w:rPr>
        <w:t xml:space="preserve"> in Indonesia</w:t>
      </w:r>
      <w:r>
        <w:rPr>
          <w:rFonts w:ascii="Times New Roman" w:eastAsia="Times New Roman" w:hAnsi="Times New Roman" w:cs="Times New Roman"/>
        </w:rPr>
        <w:t>, the highest</w:t>
      </w:r>
      <w:r w:rsidR="00F477DE">
        <w:rPr>
          <w:rFonts w:ascii="Times New Roman" w:eastAsia="Times New Roman" w:hAnsi="Times New Roman" w:cs="Times New Roman"/>
        </w:rPr>
        <w:t xml:space="preserve"> scores (NVS &gt; 75)</w:t>
      </w:r>
      <w:r>
        <w:rPr>
          <w:rFonts w:ascii="Times New Roman" w:eastAsia="Times New Roman" w:hAnsi="Times New Roman" w:cs="Times New Roman"/>
        </w:rPr>
        <w:t xml:space="preserve"> are seen for </w:t>
      </w:r>
      <w:r w:rsidR="00C52370">
        <w:rPr>
          <w:rFonts w:ascii="Times New Roman" w:eastAsia="Times New Roman" w:hAnsi="Times New Roman" w:cs="Times New Roman"/>
        </w:rPr>
        <w:t>spinach</w:t>
      </w:r>
      <w:r w:rsidR="001E0AD0">
        <w:rPr>
          <w:rFonts w:ascii="Times New Roman" w:eastAsia="Times New Roman" w:hAnsi="Times New Roman" w:cs="Times New Roman"/>
        </w:rPr>
        <w:t xml:space="preserve"> and other dark green leafy vegetables</w:t>
      </w:r>
      <w:r w:rsidR="00C52370">
        <w:rPr>
          <w:rFonts w:ascii="Times New Roman" w:eastAsia="Times New Roman" w:hAnsi="Times New Roman" w:cs="Times New Roman"/>
        </w:rPr>
        <w:t>, chicken</w:t>
      </w:r>
      <w:r w:rsidR="003677B7">
        <w:rPr>
          <w:rFonts w:ascii="Times New Roman" w:eastAsia="Times New Roman" w:hAnsi="Times New Roman" w:cs="Times New Roman"/>
        </w:rPr>
        <w:t xml:space="preserve"> and beef</w:t>
      </w:r>
      <w:r w:rsidR="00C52370">
        <w:rPr>
          <w:rFonts w:ascii="Times New Roman" w:eastAsia="Times New Roman" w:hAnsi="Times New Roman" w:cs="Times New Roman"/>
        </w:rPr>
        <w:t xml:space="preserve"> organs, fatty fish, deer, and bivalves</w:t>
      </w:r>
      <w:r>
        <w:rPr>
          <w:rFonts w:ascii="Times New Roman" w:eastAsia="Times New Roman" w:hAnsi="Times New Roman" w:cs="Times New Roman"/>
        </w:rPr>
        <w:t xml:space="preserve"> (Table 1, Fig. </w:t>
      </w:r>
      <w:r w:rsidR="00C52370">
        <w:rPr>
          <w:rFonts w:ascii="Times New Roman" w:eastAsia="Times New Roman" w:hAnsi="Times New Roman" w:cs="Times New Roman"/>
        </w:rPr>
        <w:t>3</w:t>
      </w:r>
      <w:r>
        <w:rPr>
          <w:rFonts w:ascii="Times New Roman" w:eastAsia="Times New Roman" w:hAnsi="Times New Roman" w:cs="Times New Roman"/>
        </w:rPr>
        <w:t xml:space="preserve">). </w:t>
      </w:r>
      <w:r w:rsidR="00233578">
        <w:rPr>
          <w:rFonts w:ascii="Times New Roman" w:eastAsia="Times New Roman" w:hAnsi="Times New Roman" w:cs="Times New Roman"/>
        </w:rPr>
        <w:t xml:space="preserve">Moderately high scoring foods (NVS 50–75) include </w:t>
      </w:r>
      <w:r w:rsidR="0043046C">
        <w:rPr>
          <w:rFonts w:ascii="Times New Roman" w:eastAsia="Times New Roman" w:hAnsi="Times New Roman" w:cs="Times New Roman"/>
        </w:rPr>
        <w:t xml:space="preserve">goat, </w:t>
      </w:r>
      <w:r w:rsidR="00A84EA2">
        <w:rPr>
          <w:rFonts w:ascii="Times New Roman" w:eastAsia="Times New Roman" w:hAnsi="Times New Roman" w:cs="Times New Roman"/>
        </w:rPr>
        <w:t xml:space="preserve">crustaceans, </w:t>
      </w:r>
      <w:r w:rsidR="00290023">
        <w:rPr>
          <w:rFonts w:ascii="Times New Roman" w:eastAsia="Times New Roman" w:hAnsi="Times New Roman" w:cs="Times New Roman"/>
        </w:rPr>
        <w:t xml:space="preserve">zucchini, </w:t>
      </w:r>
      <w:r w:rsidR="004F4053">
        <w:rPr>
          <w:rFonts w:ascii="Times New Roman" w:eastAsia="Times New Roman" w:hAnsi="Times New Roman" w:cs="Times New Roman"/>
        </w:rPr>
        <w:t>sunflower seeds, edamame, beef, lean fish, pork, eggs, pumpkin, mung beans, chicken</w:t>
      </w:r>
      <w:r w:rsidR="000E1958">
        <w:rPr>
          <w:rFonts w:ascii="Times New Roman" w:eastAsia="Times New Roman" w:hAnsi="Times New Roman" w:cs="Times New Roman"/>
        </w:rPr>
        <w:t>, guava, sweet potato,</w:t>
      </w:r>
      <w:r w:rsidR="003605EB">
        <w:rPr>
          <w:rFonts w:ascii="Times New Roman" w:eastAsia="Times New Roman" w:hAnsi="Times New Roman" w:cs="Times New Roman"/>
        </w:rPr>
        <w:t xml:space="preserve"> unsweetened soymilk, cow milk,</w:t>
      </w:r>
      <w:r w:rsidR="00D90430">
        <w:rPr>
          <w:rFonts w:ascii="Times New Roman" w:eastAsia="Times New Roman" w:hAnsi="Times New Roman" w:cs="Times New Roman"/>
        </w:rPr>
        <w:t xml:space="preserve"> cantaloupe, and avocado,</w:t>
      </w:r>
      <w:r w:rsidR="000E1958">
        <w:rPr>
          <w:rFonts w:ascii="Times New Roman" w:eastAsia="Times New Roman" w:hAnsi="Times New Roman" w:cs="Times New Roman"/>
        </w:rPr>
        <w:t xml:space="preserve"> among others </w:t>
      </w:r>
      <w:r w:rsidR="000E1958">
        <w:rPr>
          <w:rFonts w:ascii="Times New Roman" w:eastAsia="Times New Roman" w:hAnsi="Times New Roman" w:cs="Times New Roman"/>
        </w:rPr>
        <w:lastRenderedPageBreak/>
        <w:t xml:space="preserve">(Table 1, Fig. 3). </w:t>
      </w:r>
      <w:r w:rsidR="0079664E">
        <w:rPr>
          <w:rFonts w:ascii="Times New Roman" w:eastAsia="Times New Roman" w:hAnsi="Times New Roman" w:cs="Times New Roman"/>
        </w:rPr>
        <w:t xml:space="preserve">Moderately low scoring foods (NVS 25–49) include </w:t>
      </w:r>
      <w:r w:rsidR="00A66B4E">
        <w:rPr>
          <w:rFonts w:ascii="Times New Roman" w:eastAsia="Times New Roman" w:hAnsi="Times New Roman" w:cs="Times New Roman"/>
        </w:rPr>
        <w:t xml:space="preserve">cassava, watermelon, refined wheat pasta, </w:t>
      </w:r>
      <w:r w:rsidR="00940332">
        <w:rPr>
          <w:rFonts w:ascii="Times New Roman" w:eastAsia="Times New Roman" w:hAnsi="Times New Roman" w:cs="Times New Roman"/>
        </w:rPr>
        <w:t xml:space="preserve">brown rice, </w:t>
      </w:r>
      <w:r w:rsidR="00E66E2C">
        <w:rPr>
          <w:rFonts w:ascii="Times New Roman" w:eastAsia="Times New Roman" w:hAnsi="Times New Roman" w:cs="Times New Roman"/>
        </w:rPr>
        <w:t xml:space="preserve">apple, </w:t>
      </w:r>
      <w:r w:rsidR="007B276B">
        <w:rPr>
          <w:rFonts w:ascii="Times New Roman" w:eastAsia="Times New Roman" w:hAnsi="Times New Roman" w:cs="Times New Roman"/>
        </w:rPr>
        <w:t xml:space="preserve">eggplant, </w:t>
      </w:r>
      <w:r w:rsidR="000C4226">
        <w:rPr>
          <w:rFonts w:ascii="Times New Roman" w:eastAsia="Times New Roman" w:hAnsi="Times New Roman" w:cs="Times New Roman"/>
        </w:rPr>
        <w:t xml:space="preserve">sweet corn, </w:t>
      </w:r>
      <w:r w:rsidR="00680E72">
        <w:rPr>
          <w:rFonts w:ascii="Times New Roman" w:eastAsia="Times New Roman" w:hAnsi="Times New Roman" w:cs="Times New Roman"/>
        </w:rPr>
        <w:t>whole wheat nood</w:t>
      </w:r>
      <w:r w:rsidR="00F06A2F">
        <w:rPr>
          <w:rFonts w:ascii="Times New Roman" w:eastAsia="Times New Roman" w:hAnsi="Times New Roman" w:cs="Times New Roman"/>
        </w:rPr>
        <w:t xml:space="preserve">les, </w:t>
      </w:r>
      <w:r w:rsidR="005831D5">
        <w:rPr>
          <w:rFonts w:ascii="Times New Roman" w:eastAsia="Times New Roman" w:hAnsi="Times New Roman" w:cs="Times New Roman"/>
        </w:rPr>
        <w:t xml:space="preserve">banana, </w:t>
      </w:r>
      <w:r w:rsidR="00491310">
        <w:rPr>
          <w:rFonts w:ascii="Times New Roman" w:eastAsia="Times New Roman" w:hAnsi="Times New Roman" w:cs="Times New Roman"/>
        </w:rPr>
        <w:t xml:space="preserve">and </w:t>
      </w:r>
      <w:r w:rsidR="00E9624D">
        <w:rPr>
          <w:rFonts w:ascii="Times New Roman" w:eastAsia="Times New Roman" w:hAnsi="Times New Roman" w:cs="Times New Roman"/>
        </w:rPr>
        <w:t xml:space="preserve">cucumber, </w:t>
      </w:r>
      <w:r w:rsidR="00491310">
        <w:rPr>
          <w:rFonts w:ascii="Times New Roman" w:eastAsia="Times New Roman" w:hAnsi="Times New Roman" w:cs="Times New Roman"/>
        </w:rPr>
        <w:t xml:space="preserve">among others (Table 1, Fig. 3). </w:t>
      </w:r>
      <w:r w:rsidR="001905CE">
        <w:rPr>
          <w:rFonts w:ascii="Times New Roman" w:eastAsia="Times New Roman" w:hAnsi="Times New Roman" w:cs="Times New Roman"/>
        </w:rPr>
        <w:t xml:space="preserve">The lowest scores (NVS &lt; 25) belong to </w:t>
      </w:r>
      <w:r w:rsidR="0078244F">
        <w:rPr>
          <w:rFonts w:ascii="Times New Roman" w:eastAsia="Times New Roman" w:hAnsi="Times New Roman" w:cs="Times New Roman"/>
        </w:rPr>
        <w:t>congee, white rice, and coconut (Table 1, Fig. 3).</w:t>
      </w:r>
    </w:p>
    <w:p w14:paraId="300DBE9A" w14:textId="659E5EB6" w:rsidR="00C05F6D" w:rsidRDefault="00A302F0">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00C5207" wp14:editId="53DA2184">
            <wp:extent cx="3668774" cy="4572000"/>
            <wp:effectExtent l="0" t="0" r="0" b="0"/>
            <wp:docPr id="1429028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028539" name="Picture 1429028539"/>
                    <pic:cNvPicPr/>
                  </pic:nvPicPr>
                  <pic:blipFill>
                    <a:blip r:embed="rId12">
                      <a:extLst>
                        <a:ext uri="{28A0092B-C50C-407E-A947-70E740481C1C}">
                          <a14:useLocalDpi xmlns:a14="http://schemas.microsoft.com/office/drawing/2010/main" val="0"/>
                        </a:ext>
                      </a:extLst>
                    </a:blip>
                    <a:stretch>
                      <a:fillRect/>
                    </a:stretch>
                  </pic:blipFill>
                  <pic:spPr>
                    <a:xfrm>
                      <a:off x="0" y="0"/>
                      <a:ext cx="3668774" cy="4572000"/>
                    </a:xfrm>
                    <a:prstGeom prst="rect">
                      <a:avLst/>
                    </a:prstGeom>
                  </pic:spPr>
                </pic:pic>
              </a:graphicData>
            </a:graphic>
          </wp:inline>
        </w:drawing>
      </w:r>
    </w:p>
    <w:p w14:paraId="1A55F463" w14:textId="2282A2B2" w:rsidR="00C05F6D" w:rsidRDefault="000D22B3">
      <w:pPr>
        <w:spacing w:line="480" w:lineRule="auto"/>
        <w:ind w:left="1800" w:right="173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 </w:t>
      </w:r>
      <w:r w:rsidR="00A302F0">
        <w:rPr>
          <w:rFonts w:ascii="Times New Roman" w:eastAsia="Times New Roman" w:hAnsi="Times New Roman" w:cs="Times New Roman"/>
          <w:b/>
          <w:sz w:val="20"/>
          <w:szCs w:val="20"/>
        </w:rPr>
        <w:t xml:space="preserve">3 </w:t>
      </w:r>
      <w:r>
        <w:rPr>
          <w:rFonts w:ascii="Times New Roman" w:eastAsia="Times New Roman" w:hAnsi="Times New Roman" w:cs="Times New Roman"/>
          <w:b/>
          <w:sz w:val="20"/>
          <w:szCs w:val="20"/>
        </w:rPr>
        <w:t>| Nutritional Value Scores for common Indonesian foods.</w:t>
      </w:r>
      <w:r>
        <w:t xml:space="preserve"> </w:t>
      </w:r>
      <w:r>
        <w:rPr>
          <w:rFonts w:ascii="Times New Roman" w:eastAsia="Times New Roman" w:hAnsi="Times New Roman" w:cs="Times New Roman"/>
          <w:sz w:val="20"/>
          <w:szCs w:val="20"/>
        </w:rPr>
        <w:t>The Nutritional Value Score rates foods by nutritional value. It is scaled from 1 (lowest) to 100 (highest).</w:t>
      </w:r>
    </w:p>
    <w:p w14:paraId="6E8D36A7" w14:textId="77777777" w:rsidR="00C05F6D" w:rsidRDefault="00C05F6D">
      <w:pPr>
        <w:spacing w:line="480" w:lineRule="auto"/>
        <w:rPr>
          <w:rFonts w:ascii="Times New Roman" w:eastAsia="Times New Roman" w:hAnsi="Times New Roman" w:cs="Times New Roman"/>
        </w:rPr>
      </w:pPr>
    </w:p>
    <w:p w14:paraId="4B0CC33A" w14:textId="188B62F6"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NVS also shows large variation between foods within the same </w:t>
      </w:r>
      <w:r w:rsidR="00026D6D">
        <w:rPr>
          <w:rFonts w:ascii="Times New Roman" w:eastAsia="Times New Roman" w:hAnsi="Times New Roman" w:cs="Times New Roman"/>
        </w:rPr>
        <w:t xml:space="preserve">broad </w:t>
      </w:r>
      <w:r>
        <w:rPr>
          <w:rFonts w:ascii="Times New Roman" w:eastAsia="Times New Roman" w:hAnsi="Times New Roman" w:cs="Times New Roman"/>
        </w:rPr>
        <w:t xml:space="preserve">food group. For vegetables, the NVS ranges from </w:t>
      </w:r>
      <w:r w:rsidR="00B11410">
        <w:rPr>
          <w:rFonts w:ascii="Times New Roman" w:eastAsia="Times New Roman" w:hAnsi="Times New Roman" w:cs="Times New Roman"/>
        </w:rPr>
        <w:t xml:space="preserve">41 </w:t>
      </w:r>
      <w:r>
        <w:rPr>
          <w:rFonts w:ascii="Times New Roman" w:eastAsia="Times New Roman" w:hAnsi="Times New Roman" w:cs="Times New Roman"/>
        </w:rPr>
        <w:t xml:space="preserve">to </w:t>
      </w:r>
      <w:r w:rsidR="00B11410">
        <w:rPr>
          <w:rFonts w:ascii="Times New Roman" w:eastAsia="Times New Roman" w:hAnsi="Times New Roman" w:cs="Times New Roman"/>
        </w:rPr>
        <w:t>99</w:t>
      </w:r>
      <w:r>
        <w:rPr>
          <w:rFonts w:ascii="Times New Roman" w:eastAsia="Times New Roman" w:hAnsi="Times New Roman" w:cs="Times New Roman"/>
        </w:rPr>
        <w:t>, with dark green leafy vegetables having the highest scores and eggplant, cucumber, cauliflower</w:t>
      </w:r>
      <w:r w:rsidR="00B11410">
        <w:rPr>
          <w:rFonts w:ascii="Times New Roman" w:eastAsia="Times New Roman" w:hAnsi="Times New Roman" w:cs="Times New Roman"/>
        </w:rPr>
        <w:t>, and green pepper</w:t>
      </w:r>
      <w:r>
        <w:rPr>
          <w:rFonts w:ascii="Times New Roman" w:eastAsia="Times New Roman" w:hAnsi="Times New Roman" w:cs="Times New Roman"/>
        </w:rPr>
        <w:t xml:space="preserve"> having the lowest scores (</w:t>
      </w:r>
      <w:r w:rsidR="003550CA">
        <w:rPr>
          <w:rFonts w:ascii="Times New Roman" w:eastAsia="Times New Roman" w:hAnsi="Times New Roman" w:cs="Times New Roman"/>
        </w:rPr>
        <w:t xml:space="preserve">NVS &lt; 50; </w:t>
      </w:r>
      <w:r>
        <w:rPr>
          <w:rFonts w:ascii="Times New Roman" w:eastAsia="Times New Roman" w:hAnsi="Times New Roman" w:cs="Times New Roman"/>
        </w:rPr>
        <w:t xml:space="preserve">Fig. </w:t>
      </w:r>
      <w:r w:rsidR="00686C05">
        <w:rPr>
          <w:rFonts w:ascii="Times New Roman" w:eastAsia="Times New Roman" w:hAnsi="Times New Roman" w:cs="Times New Roman"/>
        </w:rPr>
        <w:t>4</w:t>
      </w:r>
      <w:r>
        <w:rPr>
          <w:rFonts w:ascii="Times New Roman" w:eastAsia="Times New Roman" w:hAnsi="Times New Roman" w:cs="Times New Roman"/>
        </w:rPr>
        <w:t xml:space="preserve">). </w:t>
      </w:r>
      <w:r w:rsidR="00B11410">
        <w:rPr>
          <w:rFonts w:ascii="Times New Roman" w:eastAsia="Times New Roman" w:hAnsi="Times New Roman" w:cs="Times New Roman"/>
        </w:rPr>
        <w:t xml:space="preserve">Most other </w:t>
      </w:r>
      <w:r>
        <w:rPr>
          <w:rFonts w:ascii="Times New Roman" w:eastAsia="Times New Roman" w:hAnsi="Times New Roman" w:cs="Times New Roman"/>
        </w:rPr>
        <w:t xml:space="preserve">vegetables fall in the middle, with a NVS </w:t>
      </w:r>
      <w:r w:rsidR="00B11410">
        <w:rPr>
          <w:rFonts w:ascii="Times New Roman" w:eastAsia="Times New Roman" w:hAnsi="Times New Roman" w:cs="Times New Roman"/>
        </w:rPr>
        <w:t xml:space="preserve">typically </w:t>
      </w:r>
      <w:r>
        <w:rPr>
          <w:rFonts w:ascii="Times New Roman" w:eastAsia="Times New Roman" w:hAnsi="Times New Roman" w:cs="Times New Roman"/>
        </w:rPr>
        <w:lastRenderedPageBreak/>
        <w:t xml:space="preserve">between </w:t>
      </w:r>
      <w:r w:rsidR="00B11410">
        <w:rPr>
          <w:rFonts w:ascii="Times New Roman" w:eastAsia="Times New Roman" w:hAnsi="Times New Roman" w:cs="Times New Roman"/>
        </w:rPr>
        <w:t>5</w:t>
      </w:r>
      <w:r>
        <w:rPr>
          <w:rFonts w:ascii="Times New Roman" w:eastAsia="Times New Roman" w:hAnsi="Times New Roman" w:cs="Times New Roman"/>
        </w:rPr>
        <w:t xml:space="preserve">0 and 70. Similarly, there is variation within the fruit category, with the NVS ranging from 22 for </w:t>
      </w:r>
      <w:r w:rsidR="00691499">
        <w:rPr>
          <w:rFonts w:ascii="Times New Roman" w:eastAsia="Times New Roman" w:hAnsi="Times New Roman" w:cs="Times New Roman"/>
        </w:rPr>
        <w:t xml:space="preserve">coconut </w:t>
      </w:r>
      <w:r>
        <w:rPr>
          <w:rFonts w:ascii="Times New Roman" w:eastAsia="Times New Roman" w:hAnsi="Times New Roman" w:cs="Times New Roman"/>
        </w:rPr>
        <w:t xml:space="preserve">to </w:t>
      </w:r>
      <w:r w:rsidR="00691499">
        <w:rPr>
          <w:rFonts w:ascii="Times New Roman" w:eastAsia="Times New Roman" w:hAnsi="Times New Roman" w:cs="Times New Roman"/>
        </w:rPr>
        <w:t xml:space="preserve">57 </w:t>
      </w:r>
      <w:r>
        <w:rPr>
          <w:rFonts w:ascii="Times New Roman" w:eastAsia="Times New Roman" w:hAnsi="Times New Roman" w:cs="Times New Roman"/>
        </w:rPr>
        <w:t xml:space="preserve">for </w:t>
      </w:r>
      <w:r w:rsidR="00691499">
        <w:rPr>
          <w:rFonts w:ascii="Times New Roman" w:eastAsia="Times New Roman" w:hAnsi="Times New Roman" w:cs="Times New Roman"/>
        </w:rPr>
        <w:t>guava</w:t>
      </w:r>
      <w:r>
        <w:rPr>
          <w:rFonts w:ascii="Times New Roman" w:eastAsia="Times New Roman" w:hAnsi="Times New Roman" w:cs="Times New Roman"/>
        </w:rPr>
        <w:t xml:space="preserve"> (Supplementary Fig. 1). For legumes, nuts, and seeds, the range is narrower, from </w:t>
      </w:r>
      <w:r w:rsidR="00837081">
        <w:rPr>
          <w:rFonts w:ascii="Times New Roman" w:eastAsia="Times New Roman" w:hAnsi="Times New Roman" w:cs="Times New Roman"/>
        </w:rPr>
        <w:t xml:space="preserve">44 </w:t>
      </w:r>
      <w:r>
        <w:rPr>
          <w:rFonts w:ascii="Times New Roman" w:eastAsia="Times New Roman" w:hAnsi="Times New Roman" w:cs="Times New Roman"/>
        </w:rPr>
        <w:t xml:space="preserve">for oncom to </w:t>
      </w:r>
      <w:r w:rsidR="00837081">
        <w:rPr>
          <w:rFonts w:ascii="Times New Roman" w:eastAsia="Times New Roman" w:hAnsi="Times New Roman" w:cs="Times New Roman"/>
        </w:rPr>
        <w:t xml:space="preserve">68 </w:t>
      </w:r>
      <w:r>
        <w:rPr>
          <w:rFonts w:ascii="Times New Roman" w:eastAsia="Times New Roman" w:hAnsi="Times New Roman" w:cs="Times New Roman"/>
        </w:rPr>
        <w:t xml:space="preserve">for edamame (Supplementary Fig. 2). Animal source foods show wide variation, with the NVS ranging from </w:t>
      </w:r>
      <w:r w:rsidR="00E4548E">
        <w:rPr>
          <w:rFonts w:ascii="Times New Roman" w:eastAsia="Times New Roman" w:hAnsi="Times New Roman" w:cs="Times New Roman"/>
        </w:rPr>
        <w:t xml:space="preserve">47 </w:t>
      </w:r>
      <w:r>
        <w:rPr>
          <w:rFonts w:ascii="Times New Roman" w:eastAsia="Times New Roman" w:hAnsi="Times New Roman" w:cs="Times New Roman"/>
        </w:rPr>
        <w:t xml:space="preserve">for </w:t>
      </w:r>
      <w:r w:rsidR="00E4548E">
        <w:rPr>
          <w:rFonts w:ascii="Times New Roman" w:eastAsia="Times New Roman" w:hAnsi="Times New Roman" w:cs="Times New Roman"/>
        </w:rPr>
        <w:t xml:space="preserve">cottage cheese </w:t>
      </w:r>
      <w:r>
        <w:rPr>
          <w:rFonts w:ascii="Times New Roman" w:eastAsia="Times New Roman" w:hAnsi="Times New Roman" w:cs="Times New Roman"/>
        </w:rPr>
        <w:t xml:space="preserve">to </w:t>
      </w:r>
      <w:r w:rsidR="009521AF">
        <w:rPr>
          <w:rFonts w:ascii="Times New Roman" w:eastAsia="Times New Roman" w:hAnsi="Times New Roman" w:cs="Times New Roman"/>
        </w:rPr>
        <w:t xml:space="preserve">91 </w:t>
      </w:r>
      <w:r>
        <w:rPr>
          <w:rFonts w:ascii="Times New Roman" w:eastAsia="Times New Roman" w:hAnsi="Times New Roman" w:cs="Times New Roman"/>
        </w:rPr>
        <w:t xml:space="preserve">for chicken organs (Supplementary Fig. 3). Finally, among starchy staples the NVS ranges from just 1 for congee up to </w:t>
      </w:r>
      <w:r w:rsidR="00FC5BA0">
        <w:rPr>
          <w:rFonts w:ascii="Times New Roman" w:eastAsia="Times New Roman" w:hAnsi="Times New Roman" w:cs="Times New Roman"/>
        </w:rPr>
        <w:t xml:space="preserve">55 </w:t>
      </w:r>
      <w:r>
        <w:rPr>
          <w:rFonts w:ascii="Times New Roman" w:eastAsia="Times New Roman" w:hAnsi="Times New Roman" w:cs="Times New Roman"/>
        </w:rPr>
        <w:t xml:space="preserve">for sweet potato (Supplementary Fig. 4). In summary, there is variation within each food group, </w:t>
      </w:r>
      <w:r w:rsidR="002C29B7">
        <w:rPr>
          <w:rFonts w:ascii="Times New Roman" w:eastAsia="Times New Roman" w:hAnsi="Times New Roman" w:cs="Times New Roman"/>
        </w:rPr>
        <w:t xml:space="preserve">but </w:t>
      </w:r>
      <w:r>
        <w:rPr>
          <w:rFonts w:ascii="Times New Roman" w:eastAsia="Times New Roman" w:hAnsi="Times New Roman" w:cs="Times New Roman"/>
        </w:rPr>
        <w:t xml:space="preserve">the extent differs, with </w:t>
      </w:r>
      <w:r w:rsidR="00ED336D">
        <w:rPr>
          <w:rFonts w:ascii="Times New Roman" w:eastAsia="Times New Roman" w:hAnsi="Times New Roman" w:cs="Times New Roman"/>
        </w:rPr>
        <w:t>fruits</w:t>
      </w:r>
      <w:r w:rsidR="009A50F7">
        <w:rPr>
          <w:rFonts w:ascii="Times New Roman" w:eastAsia="Times New Roman" w:hAnsi="Times New Roman" w:cs="Times New Roman"/>
        </w:rPr>
        <w:t>,</w:t>
      </w:r>
      <w:r w:rsidR="00ED336D">
        <w:rPr>
          <w:rFonts w:ascii="Times New Roman" w:eastAsia="Times New Roman" w:hAnsi="Times New Roman" w:cs="Times New Roman"/>
        </w:rPr>
        <w:t xml:space="preserve"> </w:t>
      </w:r>
      <w:r>
        <w:rPr>
          <w:rFonts w:ascii="Times New Roman" w:eastAsia="Times New Roman" w:hAnsi="Times New Roman" w:cs="Times New Roman"/>
        </w:rPr>
        <w:t>vegetables</w:t>
      </w:r>
      <w:r w:rsidR="009A50F7">
        <w:rPr>
          <w:rFonts w:ascii="Times New Roman" w:eastAsia="Times New Roman" w:hAnsi="Times New Roman" w:cs="Times New Roman"/>
        </w:rPr>
        <w:t>,</w:t>
      </w:r>
      <w:r>
        <w:rPr>
          <w:rFonts w:ascii="Times New Roman" w:eastAsia="Times New Roman" w:hAnsi="Times New Roman" w:cs="Times New Roman"/>
        </w:rPr>
        <w:t xml:space="preserve"> animal</w:t>
      </w:r>
      <w:r w:rsidR="007E29CF">
        <w:rPr>
          <w:rFonts w:ascii="Times New Roman" w:eastAsia="Times New Roman" w:hAnsi="Times New Roman" w:cs="Times New Roman"/>
        </w:rPr>
        <w:t xml:space="preserve"> </w:t>
      </w:r>
      <w:r>
        <w:rPr>
          <w:rFonts w:ascii="Times New Roman" w:eastAsia="Times New Roman" w:hAnsi="Times New Roman" w:cs="Times New Roman"/>
        </w:rPr>
        <w:t>source foods</w:t>
      </w:r>
      <w:r w:rsidR="009A50F7">
        <w:rPr>
          <w:rFonts w:ascii="Times New Roman" w:eastAsia="Times New Roman" w:hAnsi="Times New Roman" w:cs="Times New Roman"/>
        </w:rPr>
        <w:t>,</w:t>
      </w:r>
      <w:r w:rsidR="00ED336D">
        <w:rPr>
          <w:rFonts w:ascii="Times New Roman" w:eastAsia="Times New Roman" w:hAnsi="Times New Roman" w:cs="Times New Roman"/>
        </w:rPr>
        <w:t xml:space="preserve"> and starchy staples</w:t>
      </w:r>
      <w:r>
        <w:rPr>
          <w:rFonts w:ascii="Times New Roman" w:eastAsia="Times New Roman" w:hAnsi="Times New Roman" w:cs="Times New Roman"/>
        </w:rPr>
        <w:t xml:space="preserve"> showing wider NVS ranges compared to legumes, nuts, and seeds.</w:t>
      </w:r>
    </w:p>
    <w:p w14:paraId="43AA7850" w14:textId="392EA48C" w:rsidR="00C05F6D" w:rsidRDefault="002B2C91" w:rsidP="00E53923">
      <w:pPr>
        <w:spacing w:line="480" w:lineRule="auto"/>
        <w:ind w:left="720" w:right="650"/>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74C50340" wp14:editId="24496DEB">
            <wp:extent cx="5029200" cy="4664555"/>
            <wp:effectExtent l="0" t="0" r="0" b="0"/>
            <wp:docPr id="20340834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83445" name="Picture 2034083445"/>
                    <pic:cNvPicPr/>
                  </pic:nvPicPr>
                  <pic:blipFill>
                    <a:blip r:embed="rId13">
                      <a:extLst>
                        <a:ext uri="{28A0092B-C50C-407E-A947-70E740481C1C}">
                          <a14:useLocalDpi xmlns:a14="http://schemas.microsoft.com/office/drawing/2010/main" val="0"/>
                        </a:ext>
                      </a:extLst>
                    </a:blip>
                    <a:stretch>
                      <a:fillRect/>
                    </a:stretch>
                  </pic:blipFill>
                  <pic:spPr>
                    <a:xfrm>
                      <a:off x="0" y="0"/>
                      <a:ext cx="5029200" cy="4664555"/>
                    </a:xfrm>
                    <a:prstGeom prst="rect">
                      <a:avLst/>
                    </a:prstGeom>
                  </pic:spPr>
                </pic:pic>
              </a:graphicData>
            </a:graphic>
          </wp:inline>
        </w:drawing>
      </w:r>
    </w:p>
    <w:p w14:paraId="26F91F20" w14:textId="25D233C9" w:rsidR="00C05F6D" w:rsidRDefault="000D22B3" w:rsidP="0069624F">
      <w:pPr>
        <w:spacing w:after="360" w:line="480" w:lineRule="auto"/>
        <w:ind w:left="810" w:right="1370"/>
        <w:rPr>
          <w:rFonts w:ascii="Times New Roman" w:eastAsia="Times New Roman" w:hAnsi="Times New Roman" w:cs="Times New Roman"/>
        </w:rPr>
      </w:pPr>
      <w:r>
        <w:rPr>
          <w:rFonts w:ascii="Times New Roman" w:eastAsia="Times New Roman" w:hAnsi="Times New Roman" w:cs="Times New Roman"/>
          <w:b/>
          <w:sz w:val="20"/>
          <w:szCs w:val="20"/>
        </w:rPr>
        <w:t xml:space="preserve">Fig. </w:t>
      </w:r>
      <w:r w:rsidR="005B5913">
        <w:rPr>
          <w:rFonts w:ascii="Times New Roman" w:eastAsia="Times New Roman" w:hAnsi="Times New Roman" w:cs="Times New Roman"/>
          <w:b/>
          <w:sz w:val="20"/>
          <w:szCs w:val="20"/>
        </w:rPr>
        <w:t xml:space="preserve">4 </w:t>
      </w:r>
      <w:r>
        <w:rPr>
          <w:rFonts w:ascii="Times New Roman" w:eastAsia="Times New Roman" w:hAnsi="Times New Roman" w:cs="Times New Roman"/>
          <w:b/>
          <w:sz w:val="20"/>
          <w:szCs w:val="20"/>
        </w:rPr>
        <w:t>| Nutritional Value Scores for common Indonesian vegetables.</w:t>
      </w:r>
      <w:r>
        <w:t xml:space="preserve"> </w:t>
      </w:r>
      <w:r>
        <w:rPr>
          <w:rFonts w:ascii="Times New Roman" w:eastAsia="Times New Roman" w:hAnsi="Times New Roman" w:cs="Times New Roman"/>
          <w:sz w:val="20"/>
          <w:szCs w:val="20"/>
        </w:rPr>
        <w:t>The Nutritional Value Score rates foods by nutritional value. It is scaled from 1 (lowest) to 100 (highest).</w:t>
      </w:r>
    </w:p>
    <w:p w14:paraId="3E2BD9C7" w14:textId="77777777" w:rsidR="00C05F6D" w:rsidRDefault="00C05F6D">
      <w:pPr>
        <w:spacing w:line="480" w:lineRule="auto"/>
        <w:rPr>
          <w:rFonts w:ascii="Times New Roman" w:eastAsia="Times New Roman" w:hAnsi="Times New Roman" w:cs="Times New Roman"/>
        </w:rPr>
      </w:pPr>
    </w:p>
    <w:p w14:paraId="37872C22" w14:textId="2FE09199" w:rsidR="006936D9" w:rsidRDefault="006936D9" w:rsidP="006936D9">
      <w:pPr>
        <w:spacing w:line="480" w:lineRule="auto"/>
        <w:rPr>
          <w:rFonts w:ascii="Times New Roman" w:eastAsia="Times New Roman" w:hAnsi="Times New Roman" w:cs="Times New Roman"/>
          <w:b/>
        </w:rPr>
      </w:pPr>
      <w:r>
        <w:rPr>
          <w:rFonts w:ascii="Times New Roman" w:eastAsia="Times New Roman" w:hAnsi="Times New Roman" w:cs="Times New Roman"/>
          <w:b/>
        </w:rPr>
        <w:t>Compari</w:t>
      </w:r>
      <w:r w:rsidR="00542E6C">
        <w:rPr>
          <w:rFonts w:ascii="Times New Roman" w:eastAsia="Times New Roman" w:hAnsi="Times New Roman" w:cs="Times New Roman"/>
          <w:b/>
        </w:rPr>
        <w:t>son</w:t>
      </w:r>
      <w:r>
        <w:rPr>
          <w:rFonts w:ascii="Times New Roman" w:eastAsia="Times New Roman" w:hAnsi="Times New Roman" w:cs="Times New Roman"/>
          <w:b/>
        </w:rPr>
        <w:t xml:space="preserve"> with existing systems</w:t>
      </w:r>
    </w:p>
    <w:p w14:paraId="0228E294" w14:textId="7E172A4D" w:rsidR="0072605B" w:rsidRPr="0061774A" w:rsidRDefault="00CC505F" w:rsidP="0072605B">
      <w:pPr>
        <w:spacing w:line="480" w:lineRule="auto"/>
        <w:rPr>
          <w:rFonts w:ascii="Times New Roman" w:eastAsia="Times New Roman" w:hAnsi="Times New Roman" w:cs="Times New Roman"/>
          <w:bCs/>
        </w:rPr>
      </w:pPr>
      <w:r>
        <w:rPr>
          <w:rFonts w:ascii="Times New Roman" w:eastAsia="Times New Roman" w:hAnsi="Times New Roman" w:cs="Times New Roman"/>
        </w:rPr>
        <w:t>We compared</w:t>
      </w:r>
      <w:r w:rsidR="00D5429E">
        <w:rPr>
          <w:rFonts w:ascii="Times New Roman" w:eastAsia="Times New Roman" w:hAnsi="Times New Roman" w:cs="Times New Roman"/>
        </w:rPr>
        <w:t xml:space="preserve"> the NVS results for Indonesian foods </w:t>
      </w:r>
      <w:r w:rsidR="003478FF">
        <w:rPr>
          <w:rFonts w:ascii="Times New Roman" w:eastAsia="Times New Roman" w:hAnsi="Times New Roman" w:cs="Times New Roman"/>
        </w:rPr>
        <w:t xml:space="preserve">with Nutri-Score </w:t>
      </w:r>
      <w:r w:rsidR="00043041">
        <w:rPr>
          <w:rFonts w:ascii="Times New Roman" w:eastAsia="Times New Roman" w:hAnsi="Times New Roman" w:cs="Times New Roman"/>
        </w:rPr>
        <w:t xml:space="preserve">and its underlying </w:t>
      </w:r>
      <w:r w:rsidR="00262A4B">
        <w:rPr>
          <w:rFonts w:ascii="Times New Roman" w:eastAsia="Times New Roman" w:hAnsi="Times New Roman" w:cs="Times New Roman"/>
        </w:rPr>
        <w:t xml:space="preserve">points </w:t>
      </w:r>
      <w:r w:rsidR="003478FF">
        <w:rPr>
          <w:rFonts w:ascii="Times New Roman" w:eastAsia="Times New Roman" w:hAnsi="Times New Roman" w:cs="Times New Roman"/>
        </w:rPr>
        <w:t>and Health Star</w:t>
      </w:r>
      <w:r w:rsidR="00043041">
        <w:rPr>
          <w:rFonts w:ascii="Times New Roman" w:eastAsia="Times New Roman" w:hAnsi="Times New Roman" w:cs="Times New Roman"/>
        </w:rPr>
        <w:t xml:space="preserve"> Rating</w:t>
      </w:r>
      <w:r w:rsidR="003478FF">
        <w:rPr>
          <w:rFonts w:ascii="Times New Roman" w:eastAsia="Times New Roman" w:hAnsi="Times New Roman" w:cs="Times New Roman"/>
        </w:rPr>
        <w:t xml:space="preserve"> </w:t>
      </w:r>
      <w:r w:rsidR="00043041">
        <w:rPr>
          <w:rFonts w:ascii="Times New Roman" w:eastAsia="Times New Roman" w:hAnsi="Times New Roman" w:cs="Times New Roman"/>
        </w:rPr>
        <w:t>and its underlying scores</w:t>
      </w:r>
      <w:r w:rsidR="00262A4B">
        <w:rPr>
          <w:rFonts w:ascii="Times New Roman" w:eastAsia="Times New Roman" w:hAnsi="Times New Roman" w:cs="Times New Roman"/>
        </w:rPr>
        <w:t>.</w:t>
      </w:r>
      <w:r w:rsidR="003478FF">
        <w:rPr>
          <w:rFonts w:ascii="Times New Roman" w:eastAsia="Times New Roman" w:hAnsi="Times New Roman" w:cs="Times New Roman"/>
        </w:rPr>
        <w:t xml:space="preserve"> </w:t>
      </w:r>
      <w:r w:rsidR="00AB3754">
        <w:rPr>
          <w:rFonts w:ascii="Times New Roman" w:eastAsia="Times New Roman" w:hAnsi="Times New Roman" w:cs="Times New Roman"/>
        </w:rPr>
        <w:t>For Nutri-Score points, the top scoring Indonesian foods</w:t>
      </w:r>
      <w:r w:rsidR="004D0512">
        <w:rPr>
          <w:rFonts w:ascii="Times New Roman" w:eastAsia="Times New Roman" w:hAnsi="Times New Roman" w:cs="Times New Roman"/>
        </w:rPr>
        <w:t xml:space="preserve"> (≤ 0 points and</w:t>
      </w:r>
      <w:r w:rsidR="0063458A">
        <w:rPr>
          <w:rFonts w:ascii="Times New Roman" w:eastAsia="Times New Roman" w:hAnsi="Times New Roman" w:cs="Times New Roman"/>
        </w:rPr>
        <w:t xml:space="preserve"> a</w:t>
      </w:r>
      <w:r w:rsidR="004D0512">
        <w:rPr>
          <w:rFonts w:ascii="Times New Roman" w:eastAsia="Times New Roman" w:hAnsi="Times New Roman" w:cs="Times New Roman"/>
        </w:rPr>
        <w:t xml:space="preserve"> score</w:t>
      </w:r>
      <w:r w:rsidR="0063458A">
        <w:rPr>
          <w:rFonts w:ascii="Times New Roman" w:eastAsia="Times New Roman" w:hAnsi="Times New Roman" w:cs="Times New Roman"/>
        </w:rPr>
        <w:t xml:space="preserve"> of A</w:t>
      </w:r>
      <w:r w:rsidR="004D0512">
        <w:rPr>
          <w:rFonts w:ascii="Times New Roman" w:eastAsia="Times New Roman" w:hAnsi="Times New Roman" w:cs="Times New Roman"/>
        </w:rPr>
        <w:t>)</w:t>
      </w:r>
      <w:r w:rsidR="00AB3754">
        <w:rPr>
          <w:rFonts w:ascii="Times New Roman" w:eastAsia="Times New Roman" w:hAnsi="Times New Roman" w:cs="Times New Roman"/>
        </w:rPr>
        <w:t xml:space="preserve"> are </w:t>
      </w:r>
      <w:r w:rsidR="009C26B9">
        <w:rPr>
          <w:rFonts w:ascii="Times New Roman" w:eastAsia="Times New Roman" w:hAnsi="Times New Roman" w:cs="Times New Roman"/>
        </w:rPr>
        <w:t>most</w:t>
      </w:r>
      <w:r w:rsidR="00F45917">
        <w:rPr>
          <w:rFonts w:ascii="Times New Roman" w:eastAsia="Times New Roman" w:hAnsi="Times New Roman" w:cs="Times New Roman"/>
        </w:rPr>
        <w:t xml:space="preserve"> </w:t>
      </w:r>
      <w:r w:rsidR="004D0512">
        <w:rPr>
          <w:rFonts w:ascii="Times New Roman" w:eastAsia="Times New Roman" w:hAnsi="Times New Roman" w:cs="Times New Roman"/>
        </w:rPr>
        <w:t>legumes, nuts, seeds</w:t>
      </w:r>
      <w:r w:rsidR="002600BA">
        <w:rPr>
          <w:rFonts w:ascii="Times New Roman" w:eastAsia="Times New Roman" w:hAnsi="Times New Roman" w:cs="Times New Roman"/>
        </w:rPr>
        <w:t xml:space="preserve">, </w:t>
      </w:r>
      <w:r w:rsidR="00A62E69">
        <w:rPr>
          <w:rFonts w:ascii="Times New Roman" w:eastAsia="Times New Roman" w:hAnsi="Times New Roman" w:cs="Times New Roman"/>
        </w:rPr>
        <w:t>fruits</w:t>
      </w:r>
      <w:r w:rsidR="009C26B9">
        <w:rPr>
          <w:rFonts w:ascii="Times New Roman" w:eastAsia="Times New Roman" w:hAnsi="Times New Roman" w:cs="Times New Roman"/>
        </w:rPr>
        <w:t>,</w:t>
      </w:r>
      <w:r w:rsidR="00A62E69">
        <w:rPr>
          <w:rFonts w:ascii="Times New Roman" w:eastAsia="Times New Roman" w:hAnsi="Times New Roman" w:cs="Times New Roman"/>
        </w:rPr>
        <w:t xml:space="preserve"> and vegetables</w:t>
      </w:r>
      <w:r w:rsidR="009C26B9">
        <w:rPr>
          <w:rFonts w:ascii="Times New Roman" w:eastAsia="Times New Roman" w:hAnsi="Times New Roman" w:cs="Times New Roman"/>
        </w:rPr>
        <w:t xml:space="preserve">, </w:t>
      </w:r>
      <w:r w:rsidR="00A262FA">
        <w:rPr>
          <w:rFonts w:ascii="Times New Roman" w:eastAsia="Times New Roman" w:hAnsi="Times New Roman" w:cs="Times New Roman"/>
        </w:rPr>
        <w:t>as well a</w:t>
      </w:r>
      <w:r w:rsidR="006C454B">
        <w:rPr>
          <w:rFonts w:ascii="Times New Roman" w:eastAsia="Times New Roman" w:hAnsi="Times New Roman" w:cs="Times New Roman"/>
        </w:rPr>
        <w:t>s some starchy staples like breadfruit, taro, and whole wheat pasta</w:t>
      </w:r>
      <w:r w:rsidR="008A54AF">
        <w:rPr>
          <w:rFonts w:ascii="Times New Roman" w:eastAsia="Times New Roman" w:hAnsi="Times New Roman" w:cs="Times New Roman"/>
        </w:rPr>
        <w:t xml:space="preserve"> (Supplementa</w:t>
      </w:r>
      <w:r w:rsidR="00A439DD">
        <w:rPr>
          <w:rFonts w:ascii="Times New Roman" w:eastAsia="Times New Roman" w:hAnsi="Times New Roman" w:cs="Times New Roman"/>
        </w:rPr>
        <w:t>ry</w:t>
      </w:r>
      <w:r w:rsidR="008A54AF">
        <w:rPr>
          <w:rFonts w:ascii="Times New Roman" w:eastAsia="Times New Roman" w:hAnsi="Times New Roman" w:cs="Times New Roman"/>
        </w:rPr>
        <w:t xml:space="preserve"> Table 4, Fig. 5)</w:t>
      </w:r>
      <w:r w:rsidR="006C454B">
        <w:rPr>
          <w:rFonts w:ascii="Times New Roman" w:eastAsia="Times New Roman" w:hAnsi="Times New Roman" w:cs="Times New Roman"/>
        </w:rPr>
        <w:t xml:space="preserve">. </w:t>
      </w:r>
      <w:r w:rsidR="001A0853">
        <w:rPr>
          <w:rFonts w:ascii="Times New Roman" w:eastAsia="Times New Roman" w:hAnsi="Times New Roman" w:cs="Times New Roman"/>
        </w:rPr>
        <w:t xml:space="preserve">Moderately high scoring foods (1–2 points and a score of B) include </w:t>
      </w:r>
      <w:r w:rsidR="00256F5B">
        <w:rPr>
          <w:rFonts w:ascii="Times New Roman" w:eastAsia="Times New Roman" w:hAnsi="Times New Roman" w:cs="Times New Roman"/>
        </w:rPr>
        <w:t xml:space="preserve">some </w:t>
      </w:r>
      <w:r w:rsidR="00920D46">
        <w:rPr>
          <w:rFonts w:ascii="Times New Roman" w:eastAsia="Times New Roman" w:hAnsi="Times New Roman" w:cs="Times New Roman"/>
        </w:rPr>
        <w:t xml:space="preserve">refined grains like white rice and refined wheat pasta, </w:t>
      </w:r>
      <w:r w:rsidR="00256F5B">
        <w:rPr>
          <w:rFonts w:ascii="Times New Roman" w:eastAsia="Times New Roman" w:hAnsi="Times New Roman" w:cs="Times New Roman"/>
        </w:rPr>
        <w:t>some</w:t>
      </w:r>
      <w:r w:rsidR="00CC1289">
        <w:rPr>
          <w:rFonts w:ascii="Times New Roman" w:eastAsia="Times New Roman" w:hAnsi="Times New Roman" w:cs="Times New Roman"/>
        </w:rPr>
        <w:t xml:space="preserve"> </w:t>
      </w:r>
      <w:r w:rsidR="00920D46">
        <w:rPr>
          <w:rFonts w:ascii="Times New Roman" w:eastAsia="Times New Roman" w:hAnsi="Times New Roman" w:cs="Times New Roman"/>
        </w:rPr>
        <w:t>whole grains like brown rice and whole wheat nood</w:t>
      </w:r>
      <w:r w:rsidR="00467B5F">
        <w:rPr>
          <w:rFonts w:ascii="Times New Roman" w:eastAsia="Times New Roman" w:hAnsi="Times New Roman" w:cs="Times New Roman"/>
        </w:rPr>
        <w:t xml:space="preserve">les, </w:t>
      </w:r>
      <w:r w:rsidR="00256F5B">
        <w:rPr>
          <w:rFonts w:ascii="Times New Roman" w:eastAsia="Times New Roman" w:hAnsi="Times New Roman" w:cs="Times New Roman"/>
        </w:rPr>
        <w:t xml:space="preserve">some white roots, tubers, and plantains, </w:t>
      </w:r>
      <w:r w:rsidR="001F2DA3">
        <w:rPr>
          <w:rFonts w:ascii="Times New Roman" w:eastAsia="Times New Roman" w:hAnsi="Times New Roman" w:cs="Times New Roman"/>
        </w:rPr>
        <w:t>and some unprocessed lean red meats</w:t>
      </w:r>
      <w:r w:rsidR="00295B7E">
        <w:rPr>
          <w:rFonts w:ascii="Times New Roman" w:eastAsia="Times New Roman" w:hAnsi="Times New Roman" w:cs="Times New Roman"/>
        </w:rPr>
        <w:t xml:space="preserve"> like buffalo and goat</w:t>
      </w:r>
      <w:r w:rsidR="00BF78C0">
        <w:rPr>
          <w:rFonts w:ascii="Times New Roman" w:eastAsia="Times New Roman" w:hAnsi="Times New Roman" w:cs="Times New Roman"/>
        </w:rPr>
        <w:t xml:space="preserve"> (Supplementary Table 4, Fig. 5)</w:t>
      </w:r>
      <w:r w:rsidR="00295B7E">
        <w:rPr>
          <w:rFonts w:ascii="Times New Roman" w:eastAsia="Times New Roman" w:hAnsi="Times New Roman" w:cs="Times New Roman"/>
        </w:rPr>
        <w:t xml:space="preserve">. </w:t>
      </w:r>
      <w:r w:rsidR="001A0853">
        <w:rPr>
          <w:rFonts w:ascii="Times New Roman" w:eastAsia="Times New Roman" w:hAnsi="Times New Roman" w:cs="Times New Roman"/>
        </w:rPr>
        <w:t>The bottom scoring foods (</w:t>
      </w:r>
      <w:r w:rsidR="00217E9C">
        <w:rPr>
          <w:rFonts w:ascii="Times New Roman" w:eastAsia="Times New Roman" w:hAnsi="Times New Roman" w:cs="Times New Roman"/>
        </w:rPr>
        <w:t xml:space="preserve">≥ 3 points and a score of C or lower) include </w:t>
      </w:r>
      <w:r w:rsidR="00143CDB">
        <w:rPr>
          <w:rFonts w:ascii="Times New Roman" w:eastAsia="Times New Roman" w:hAnsi="Times New Roman" w:cs="Times New Roman"/>
        </w:rPr>
        <w:t>most</w:t>
      </w:r>
      <w:r w:rsidR="00077F9D">
        <w:rPr>
          <w:rFonts w:ascii="Times New Roman" w:eastAsia="Times New Roman" w:hAnsi="Times New Roman" w:cs="Times New Roman"/>
        </w:rPr>
        <w:t xml:space="preserve"> animal</w:t>
      </w:r>
      <w:r w:rsidR="007E29CF">
        <w:rPr>
          <w:rFonts w:ascii="Times New Roman" w:eastAsia="Times New Roman" w:hAnsi="Times New Roman" w:cs="Times New Roman"/>
        </w:rPr>
        <w:t xml:space="preserve"> </w:t>
      </w:r>
      <w:r w:rsidR="00077F9D">
        <w:rPr>
          <w:rFonts w:ascii="Times New Roman" w:eastAsia="Times New Roman" w:hAnsi="Times New Roman" w:cs="Times New Roman"/>
        </w:rPr>
        <w:t>source foods</w:t>
      </w:r>
      <w:r w:rsidR="007B3485">
        <w:rPr>
          <w:rFonts w:ascii="Times New Roman" w:eastAsia="Times New Roman" w:hAnsi="Times New Roman" w:cs="Times New Roman"/>
        </w:rPr>
        <w:t xml:space="preserve"> </w:t>
      </w:r>
      <w:r w:rsidR="00EC58BC">
        <w:rPr>
          <w:rFonts w:ascii="Times New Roman" w:eastAsia="Times New Roman" w:hAnsi="Times New Roman" w:cs="Times New Roman"/>
        </w:rPr>
        <w:t xml:space="preserve">like dairy, </w:t>
      </w:r>
      <w:r w:rsidR="00D54C43">
        <w:rPr>
          <w:rFonts w:ascii="Times New Roman" w:eastAsia="Times New Roman" w:hAnsi="Times New Roman" w:cs="Times New Roman"/>
        </w:rPr>
        <w:t>all but the leanest</w:t>
      </w:r>
      <w:r w:rsidR="00EC58BC">
        <w:rPr>
          <w:rFonts w:ascii="Times New Roman" w:eastAsia="Times New Roman" w:hAnsi="Times New Roman" w:cs="Times New Roman"/>
        </w:rPr>
        <w:t xml:space="preserve"> red meat, poultry, fish and seafood, </w:t>
      </w:r>
      <w:r w:rsidR="005A6035">
        <w:rPr>
          <w:rFonts w:ascii="Times New Roman" w:eastAsia="Times New Roman" w:hAnsi="Times New Roman" w:cs="Times New Roman"/>
        </w:rPr>
        <w:t>eggs, organ meat</w:t>
      </w:r>
      <w:r w:rsidR="0081449B">
        <w:rPr>
          <w:rFonts w:ascii="Times New Roman" w:eastAsia="Times New Roman" w:hAnsi="Times New Roman" w:cs="Times New Roman"/>
        </w:rPr>
        <w:t>, as well as coconut, cassava, and congee</w:t>
      </w:r>
      <w:r w:rsidR="00BF78C0">
        <w:rPr>
          <w:rFonts w:ascii="Times New Roman" w:eastAsia="Times New Roman" w:hAnsi="Times New Roman" w:cs="Times New Roman"/>
        </w:rPr>
        <w:t xml:space="preserve"> (Supplementary Table 4, Fig. 5)</w:t>
      </w:r>
      <w:r w:rsidR="0081449B">
        <w:rPr>
          <w:rFonts w:ascii="Times New Roman" w:eastAsia="Times New Roman" w:hAnsi="Times New Roman" w:cs="Times New Roman"/>
        </w:rPr>
        <w:t>.</w:t>
      </w:r>
      <w:r w:rsidR="0061774A" w:rsidRPr="0061774A">
        <w:rPr>
          <w:rFonts w:ascii="Times New Roman" w:eastAsia="Times New Roman" w:hAnsi="Times New Roman" w:cs="Times New Roman"/>
          <w:bCs/>
        </w:rPr>
        <w:t xml:space="preserve"> </w:t>
      </w:r>
      <w:r w:rsidR="0061774A">
        <w:rPr>
          <w:rFonts w:ascii="Times New Roman" w:eastAsia="Times New Roman" w:hAnsi="Times New Roman" w:cs="Times New Roman"/>
          <w:bCs/>
        </w:rPr>
        <w:t>Due to the contrasting scores for animal</w:t>
      </w:r>
      <w:r w:rsidR="007E29CF">
        <w:rPr>
          <w:rFonts w:ascii="Times New Roman" w:eastAsia="Times New Roman" w:hAnsi="Times New Roman" w:cs="Times New Roman"/>
          <w:bCs/>
        </w:rPr>
        <w:t xml:space="preserve"> </w:t>
      </w:r>
      <w:r w:rsidR="0061774A">
        <w:rPr>
          <w:rFonts w:ascii="Times New Roman" w:eastAsia="Times New Roman" w:hAnsi="Times New Roman" w:cs="Times New Roman"/>
          <w:bCs/>
        </w:rPr>
        <w:t>source foods, Nutri-Score points are not significantly linearly correlated with the NVS for animal</w:t>
      </w:r>
      <w:r w:rsidR="007E29CF">
        <w:rPr>
          <w:rFonts w:ascii="Times New Roman" w:eastAsia="Times New Roman" w:hAnsi="Times New Roman" w:cs="Times New Roman"/>
          <w:bCs/>
        </w:rPr>
        <w:t xml:space="preserve"> </w:t>
      </w:r>
      <w:r w:rsidR="0061774A">
        <w:rPr>
          <w:rFonts w:ascii="Times New Roman" w:eastAsia="Times New Roman" w:hAnsi="Times New Roman" w:cs="Times New Roman"/>
          <w:bCs/>
        </w:rPr>
        <w:t xml:space="preserve">source foods (Supplementary Fig. 11). For plant-source foods, however, there is a significant </w:t>
      </w:r>
      <w:r w:rsidR="001B793D">
        <w:rPr>
          <w:rFonts w:ascii="Times New Roman" w:eastAsia="Times New Roman" w:hAnsi="Times New Roman" w:cs="Times New Roman"/>
          <w:bCs/>
        </w:rPr>
        <w:t xml:space="preserve">linear </w:t>
      </w:r>
      <w:r w:rsidR="0061774A">
        <w:rPr>
          <w:rFonts w:ascii="Times New Roman" w:eastAsia="Times New Roman" w:hAnsi="Times New Roman" w:cs="Times New Roman"/>
          <w:bCs/>
        </w:rPr>
        <w:t xml:space="preserve">relationship (p &lt; 0.001), where poorer scoring </w:t>
      </w:r>
      <w:r w:rsidR="003B5C9C">
        <w:rPr>
          <w:rFonts w:ascii="Times New Roman" w:eastAsia="Times New Roman" w:hAnsi="Times New Roman" w:cs="Times New Roman"/>
          <w:bCs/>
        </w:rPr>
        <w:t xml:space="preserve">foods </w:t>
      </w:r>
      <w:r w:rsidR="00A624B8">
        <w:rPr>
          <w:rFonts w:ascii="Times New Roman" w:eastAsia="Times New Roman" w:hAnsi="Times New Roman" w:cs="Times New Roman"/>
          <w:bCs/>
        </w:rPr>
        <w:t xml:space="preserve">according to </w:t>
      </w:r>
      <w:r w:rsidR="0061774A">
        <w:rPr>
          <w:rFonts w:ascii="Times New Roman" w:eastAsia="Times New Roman" w:hAnsi="Times New Roman" w:cs="Times New Roman"/>
          <w:bCs/>
        </w:rPr>
        <w:t xml:space="preserve">Nutri-Score points correspond with lower scoring </w:t>
      </w:r>
      <w:r w:rsidR="00A624B8">
        <w:rPr>
          <w:rFonts w:ascii="Times New Roman" w:eastAsia="Times New Roman" w:hAnsi="Times New Roman" w:cs="Times New Roman"/>
          <w:bCs/>
        </w:rPr>
        <w:t xml:space="preserve">foods based on the </w:t>
      </w:r>
      <w:r w:rsidR="0061774A">
        <w:rPr>
          <w:rFonts w:ascii="Times New Roman" w:eastAsia="Times New Roman" w:hAnsi="Times New Roman" w:cs="Times New Roman"/>
          <w:bCs/>
        </w:rPr>
        <w:t>NVS (Supplementary Fig. 11).</w:t>
      </w:r>
    </w:p>
    <w:p w14:paraId="0AA61804" w14:textId="74B887E9" w:rsidR="0072605B" w:rsidRDefault="00AA0A0D" w:rsidP="00E53923">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6642ED87" wp14:editId="51EDF986">
            <wp:extent cx="3380114" cy="4572000"/>
            <wp:effectExtent l="0" t="0" r="0" b="0"/>
            <wp:docPr id="20141767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76753" name="Picture 2014176753"/>
                    <pic:cNvPicPr/>
                  </pic:nvPicPr>
                  <pic:blipFill>
                    <a:blip r:embed="rId14">
                      <a:extLst>
                        <a:ext uri="{28A0092B-C50C-407E-A947-70E740481C1C}">
                          <a14:useLocalDpi xmlns:a14="http://schemas.microsoft.com/office/drawing/2010/main" val="0"/>
                        </a:ext>
                      </a:extLst>
                    </a:blip>
                    <a:stretch>
                      <a:fillRect/>
                    </a:stretch>
                  </pic:blipFill>
                  <pic:spPr>
                    <a:xfrm>
                      <a:off x="0" y="0"/>
                      <a:ext cx="3380114" cy="4572000"/>
                    </a:xfrm>
                    <a:prstGeom prst="rect">
                      <a:avLst/>
                    </a:prstGeom>
                  </pic:spPr>
                </pic:pic>
              </a:graphicData>
            </a:graphic>
          </wp:inline>
        </w:drawing>
      </w:r>
    </w:p>
    <w:p w14:paraId="054DD5D8" w14:textId="4C37FFBA" w:rsidR="0072605B" w:rsidRPr="00E53923" w:rsidRDefault="00AA0A0D" w:rsidP="00E53923">
      <w:pPr>
        <w:spacing w:line="480" w:lineRule="auto"/>
        <w:ind w:left="1800" w:right="173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 </w:t>
      </w:r>
      <w:r w:rsidR="002D30E9">
        <w:rPr>
          <w:rFonts w:ascii="Times New Roman" w:eastAsia="Times New Roman" w:hAnsi="Times New Roman" w:cs="Times New Roman"/>
          <w:b/>
          <w:sz w:val="20"/>
          <w:szCs w:val="20"/>
        </w:rPr>
        <w:t>5</w:t>
      </w:r>
      <w:r>
        <w:rPr>
          <w:rFonts w:ascii="Times New Roman" w:eastAsia="Times New Roman" w:hAnsi="Times New Roman" w:cs="Times New Roman"/>
          <w:b/>
          <w:sz w:val="20"/>
          <w:szCs w:val="20"/>
        </w:rPr>
        <w:t xml:space="preserve"> | </w:t>
      </w:r>
      <w:r w:rsidR="003C5D71">
        <w:rPr>
          <w:rFonts w:ascii="Times New Roman" w:eastAsia="Times New Roman" w:hAnsi="Times New Roman" w:cs="Times New Roman"/>
          <w:b/>
          <w:sz w:val="20"/>
          <w:szCs w:val="20"/>
        </w:rPr>
        <w:t xml:space="preserve">Nutri-Score points </w:t>
      </w:r>
      <w:r>
        <w:rPr>
          <w:rFonts w:ascii="Times New Roman" w:eastAsia="Times New Roman" w:hAnsi="Times New Roman" w:cs="Times New Roman"/>
          <w:b/>
          <w:sz w:val="20"/>
          <w:szCs w:val="20"/>
        </w:rPr>
        <w:t>for common Indonesian foods</w:t>
      </w:r>
      <w:r w:rsidR="003C5D71">
        <w:rPr>
          <w:rFonts w:ascii="Times New Roman" w:eastAsia="Times New Roman" w:hAnsi="Times New Roman" w:cs="Times New Roman"/>
          <w:b/>
          <w:sz w:val="20"/>
          <w:szCs w:val="20"/>
        </w:rPr>
        <w:t xml:space="preserve">. </w:t>
      </w:r>
      <w:r w:rsidR="003C5D71">
        <w:rPr>
          <w:rFonts w:ascii="Times New Roman" w:eastAsia="Times New Roman" w:hAnsi="Times New Roman" w:cs="Times New Roman"/>
          <w:bCs/>
          <w:sz w:val="20"/>
          <w:szCs w:val="20"/>
        </w:rPr>
        <w:t>Nutri-Score points range from –15 (best) to 40 (worst)</w:t>
      </w:r>
      <w:r w:rsidR="003C5D71">
        <w:rPr>
          <w:rFonts w:ascii="Times New Roman" w:eastAsia="Times New Roman" w:hAnsi="Times New Roman" w:cs="Times New Roman"/>
          <w:sz w:val="20"/>
          <w:szCs w:val="20"/>
        </w:rPr>
        <w:t>.</w:t>
      </w:r>
    </w:p>
    <w:p w14:paraId="7CC461FA" w14:textId="77777777" w:rsidR="0072605B" w:rsidRDefault="0072605B" w:rsidP="0072605B">
      <w:pPr>
        <w:spacing w:line="480" w:lineRule="auto"/>
        <w:rPr>
          <w:rFonts w:ascii="Times New Roman" w:eastAsia="Times New Roman" w:hAnsi="Times New Roman" w:cs="Times New Roman"/>
          <w:b/>
        </w:rPr>
      </w:pPr>
    </w:p>
    <w:p w14:paraId="3188E926" w14:textId="5159FB19" w:rsidR="007D10EA" w:rsidRPr="007D10EA" w:rsidRDefault="00804576" w:rsidP="0069624F">
      <w:pPr>
        <w:spacing w:after="360" w:line="480" w:lineRule="auto"/>
        <w:rPr>
          <w:rFonts w:ascii="Times New Roman" w:eastAsia="Times New Roman" w:hAnsi="Times New Roman" w:cs="Times New Roman"/>
          <w:bCs/>
        </w:rPr>
      </w:pPr>
      <w:r>
        <w:rPr>
          <w:rFonts w:ascii="Times New Roman" w:eastAsia="Times New Roman" w:hAnsi="Times New Roman" w:cs="Times New Roman"/>
          <w:bCs/>
        </w:rPr>
        <w:t xml:space="preserve">In contrast to Nutri-Score, </w:t>
      </w:r>
      <w:r w:rsidR="00D75DBC">
        <w:rPr>
          <w:rFonts w:ascii="Times New Roman" w:eastAsia="Times New Roman" w:hAnsi="Times New Roman" w:cs="Times New Roman"/>
          <w:bCs/>
        </w:rPr>
        <w:t xml:space="preserve">there is a significant relationship (p &lt; 0.05) between Health Star Rating scores and </w:t>
      </w:r>
      <w:r w:rsidR="00C71792">
        <w:rPr>
          <w:rFonts w:ascii="Times New Roman" w:eastAsia="Times New Roman" w:hAnsi="Times New Roman" w:cs="Times New Roman"/>
          <w:bCs/>
        </w:rPr>
        <w:t xml:space="preserve">the </w:t>
      </w:r>
      <w:r w:rsidR="00D75DBC">
        <w:rPr>
          <w:rFonts w:ascii="Times New Roman" w:eastAsia="Times New Roman" w:hAnsi="Times New Roman" w:cs="Times New Roman"/>
          <w:bCs/>
        </w:rPr>
        <w:t>NVS across all foods in Indonesia</w:t>
      </w:r>
      <w:r w:rsidR="00A97662">
        <w:rPr>
          <w:rFonts w:ascii="Times New Roman" w:eastAsia="Times New Roman" w:hAnsi="Times New Roman" w:cs="Times New Roman"/>
          <w:bCs/>
        </w:rPr>
        <w:t xml:space="preserve"> (Supplementary Fig. 12)</w:t>
      </w:r>
      <w:r w:rsidR="00D75DBC">
        <w:rPr>
          <w:rFonts w:ascii="Times New Roman" w:eastAsia="Times New Roman" w:hAnsi="Times New Roman" w:cs="Times New Roman"/>
          <w:bCs/>
        </w:rPr>
        <w:t xml:space="preserve">. </w:t>
      </w:r>
      <w:r w:rsidR="003E2A77">
        <w:rPr>
          <w:rFonts w:ascii="Times New Roman" w:eastAsia="Times New Roman" w:hAnsi="Times New Roman" w:cs="Times New Roman"/>
          <w:bCs/>
        </w:rPr>
        <w:t>In Health Star Rating, fresh fruits and vegetables other than coconut receive the top rating (</w:t>
      </w:r>
      <w:r w:rsidR="003E7383">
        <w:rPr>
          <w:rFonts w:ascii="Times New Roman" w:eastAsia="Times New Roman" w:hAnsi="Times New Roman" w:cs="Times New Roman"/>
          <w:bCs/>
        </w:rPr>
        <w:t>5</w:t>
      </w:r>
      <w:r w:rsidR="003E2A77">
        <w:rPr>
          <w:rFonts w:ascii="Times New Roman" w:eastAsia="Times New Roman" w:hAnsi="Times New Roman" w:cs="Times New Roman"/>
          <w:bCs/>
        </w:rPr>
        <w:t xml:space="preserve"> stars)</w:t>
      </w:r>
      <w:r w:rsidR="003B51C7">
        <w:rPr>
          <w:rFonts w:ascii="Times New Roman" w:eastAsia="Times New Roman" w:hAnsi="Times New Roman" w:cs="Times New Roman"/>
          <w:bCs/>
        </w:rPr>
        <w:t xml:space="preserve">, and many legumes, nuts, and seeds also receive </w:t>
      </w:r>
      <w:r w:rsidR="00C32783">
        <w:rPr>
          <w:rFonts w:ascii="Times New Roman" w:eastAsia="Times New Roman" w:hAnsi="Times New Roman" w:cs="Times New Roman"/>
          <w:bCs/>
        </w:rPr>
        <w:t xml:space="preserve">the top scores and </w:t>
      </w:r>
      <w:r w:rsidR="003E7383">
        <w:rPr>
          <w:rFonts w:ascii="Times New Roman" w:eastAsia="Times New Roman" w:hAnsi="Times New Roman" w:cs="Times New Roman"/>
          <w:bCs/>
        </w:rPr>
        <w:t xml:space="preserve">a </w:t>
      </w:r>
      <w:r w:rsidR="00C32783">
        <w:rPr>
          <w:rFonts w:ascii="Times New Roman" w:eastAsia="Times New Roman" w:hAnsi="Times New Roman" w:cs="Times New Roman"/>
          <w:bCs/>
        </w:rPr>
        <w:t xml:space="preserve">rating of </w:t>
      </w:r>
      <w:r w:rsidR="003E7383">
        <w:rPr>
          <w:rFonts w:ascii="Times New Roman" w:eastAsia="Times New Roman" w:hAnsi="Times New Roman" w:cs="Times New Roman"/>
          <w:bCs/>
        </w:rPr>
        <w:t>5</w:t>
      </w:r>
      <w:r w:rsidR="00C32783">
        <w:rPr>
          <w:rFonts w:ascii="Times New Roman" w:eastAsia="Times New Roman" w:hAnsi="Times New Roman" w:cs="Times New Roman"/>
          <w:bCs/>
        </w:rPr>
        <w:t xml:space="preserve"> stars</w:t>
      </w:r>
      <w:r w:rsidR="003B51C7">
        <w:rPr>
          <w:rFonts w:ascii="Times New Roman" w:eastAsia="Times New Roman" w:hAnsi="Times New Roman" w:cs="Times New Roman"/>
          <w:bCs/>
        </w:rPr>
        <w:t xml:space="preserve"> (Supplementary </w:t>
      </w:r>
      <w:r w:rsidR="00140913">
        <w:rPr>
          <w:rFonts w:ascii="Times New Roman" w:eastAsia="Times New Roman" w:hAnsi="Times New Roman" w:cs="Times New Roman"/>
          <w:bCs/>
        </w:rPr>
        <w:t xml:space="preserve">Table 4, Supplementary </w:t>
      </w:r>
      <w:r w:rsidR="003B51C7">
        <w:rPr>
          <w:rFonts w:ascii="Times New Roman" w:eastAsia="Times New Roman" w:hAnsi="Times New Roman" w:cs="Times New Roman"/>
          <w:bCs/>
        </w:rPr>
        <w:t>Fig. 13</w:t>
      </w:r>
      <w:r w:rsidR="00140913">
        <w:rPr>
          <w:rFonts w:ascii="Times New Roman" w:eastAsia="Times New Roman" w:hAnsi="Times New Roman" w:cs="Times New Roman"/>
          <w:bCs/>
        </w:rPr>
        <w:t>)</w:t>
      </w:r>
      <w:r w:rsidR="003B51C7">
        <w:rPr>
          <w:rFonts w:ascii="Times New Roman" w:eastAsia="Times New Roman" w:hAnsi="Times New Roman" w:cs="Times New Roman"/>
          <w:bCs/>
        </w:rPr>
        <w:t xml:space="preserve">. </w:t>
      </w:r>
      <w:r w:rsidR="001571F6">
        <w:rPr>
          <w:rFonts w:ascii="Times New Roman" w:eastAsia="Times New Roman" w:hAnsi="Times New Roman" w:cs="Times New Roman"/>
          <w:bCs/>
        </w:rPr>
        <w:t>Many animal</w:t>
      </w:r>
      <w:r w:rsidR="007E29CF">
        <w:rPr>
          <w:rFonts w:ascii="Times New Roman" w:eastAsia="Times New Roman" w:hAnsi="Times New Roman" w:cs="Times New Roman"/>
          <w:bCs/>
        </w:rPr>
        <w:t xml:space="preserve"> </w:t>
      </w:r>
      <w:r w:rsidR="001571F6">
        <w:rPr>
          <w:rFonts w:ascii="Times New Roman" w:eastAsia="Times New Roman" w:hAnsi="Times New Roman" w:cs="Times New Roman"/>
          <w:bCs/>
        </w:rPr>
        <w:t>source foods also score highly</w:t>
      </w:r>
      <w:r w:rsidR="00B768B0">
        <w:rPr>
          <w:rFonts w:ascii="Times New Roman" w:eastAsia="Times New Roman" w:hAnsi="Times New Roman" w:cs="Times New Roman"/>
          <w:bCs/>
        </w:rPr>
        <w:t xml:space="preserve">, </w:t>
      </w:r>
      <w:r w:rsidR="001571F6">
        <w:rPr>
          <w:rFonts w:ascii="Times New Roman" w:eastAsia="Times New Roman" w:hAnsi="Times New Roman" w:cs="Times New Roman"/>
          <w:bCs/>
        </w:rPr>
        <w:t xml:space="preserve">including unprocessed lean red meats, yogurt, </w:t>
      </w:r>
      <w:r w:rsidR="00D26B6F">
        <w:rPr>
          <w:rFonts w:ascii="Times New Roman" w:eastAsia="Times New Roman" w:hAnsi="Times New Roman" w:cs="Times New Roman"/>
          <w:bCs/>
        </w:rPr>
        <w:t>chicken organs</w:t>
      </w:r>
      <w:r w:rsidR="001571F6">
        <w:rPr>
          <w:rFonts w:ascii="Times New Roman" w:eastAsia="Times New Roman" w:hAnsi="Times New Roman" w:cs="Times New Roman"/>
          <w:bCs/>
        </w:rPr>
        <w:t xml:space="preserve">, and </w:t>
      </w:r>
      <w:r w:rsidR="00D26B6F">
        <w:rPr>
          <w:rFonts w:ascii="Times New Roman" w:eastAsia="Times New Roman" w:hAnsi="Times New Roman" w:cs="Times New Roman"/>
          <w:bCs/>
        </w:rPr>
        <w:t>chicken</w:t>
      </w:r>
      <w:r w:rsidR="00B768B0">
        <w:rPr>
          <w:rFonts w:ascii="Times New Roman" w:eastAsia="Times New Roman" w:hAnsi="Times New Roman" w:cs="Times New Roman"/>
          <w:bCs/>
        </w:rPr>
        <w:t xml:space="preserve"> (all 4.5 stars)</w:t>
      </w:r>
      <w:r w:rsidR="00FA07FE">
        <w:rPr>
          <w:rFonts w:ascii="Times New Roman" w:eastAsia="Times New Roman" w:hAnsi="Times New Roman" w:cs="Times New Roman"/>
          <w:bCs/>
        </w:rPr>
        <w:t xml:space="preserve">, </w:t>
      </w:r>
      <w:r w:rsidR="009B399D">
        <w:rPr>
          <w:rFonts w:ascii="Times New Roman" w:eastAsia="Times New Roman" w:hAnsi="Times New Roman" w:cs="Times New Roman"/>
          <w:bCs/>
        </w:rPr>
        <w:t>as well as</w:t>
      </w:r>
      <w:r w:rsidR="00FA07FE">
        <w:rPr>
          <w:rFonts w:ascii="Times New Roman" w:eastAsia="Times New Roman" w:hAnsi="Times New Roman" w:cs="Times New Roman"/>
          <w:bCs/>
        </w:rPr>
        <w:t xml:space="preserve"> fish and seafood </w:t>
      </w:r>
      <w:r w:rsidR="009B399D">
        <w:rPr>
          <w:rFonts w:ascii="Times New Roman" w:eastAsia="Times New Roman" w:hAnsi="Times New Roman" w:cs="Times New Roman"/>
          <w:bCs/>
        </w:rPr>
        <w:t>(4 stars</w:t>
      </w:r>
      <w:r w:rsidR="00E57474">
        <w:rPr>
          <w:rFonts w:ascii="Times New Roman" w:eastAsia="Times New Roman" w:hAnsi="Times New Roman" w:cs="Times New Roman"/>
          <w:bCs/>
        </w:rPr>
        <w:t xml:space="preserve">; </w:t>
      </w:r>
      <w:r w:rsidR="001571F6">
        <w:rPr>
          <w:rFonts w:ascii="Times New Roman" w:eastAsia="Times New Roman" w:hAnsi="Times New Roman" w:cs="Times New Roman"/>
          <w:bCs/>
        </w:rPr>
        <w:t>Supplementary Table 4, Supplementary Fig. 13).</w:t>
      </w:r>
    </w:p>
    <w:p w14:paraId="547BB16A" w14:textId="77777777" w:rsidR="00D32693" w:rsidRPr="00304CAE" w:rsidRDefault="00D32693" w:rsidP="0072605B">
      <w:pPr>
        <w:spacing w:line="480" w:lineRule="auto"/>
        <w:rPr>
          <w:rFonts w:ascii="Times New Roman" w:eastAsia="Times New Roman" w:hAnsi="Times New Roman" w:cs="Times New Roman"/>
          <w:b/>
        </w:rPr>
      </w:pPr>
    </w:p>
    <w:p w14:paraId="334E8840" w14:textId="77777777" w:rsidR="00C05F6D" w:rsidRPr="00304CAE" w:rsidRDefault="000D22B3">
      <w:pPr>
        <w:spacing w:line="480" w:lineRule="auto"/>
        <w:rPr>
          <w:rFonts w:ascii="Times New Roman" w:eastAsia="Times New Roman" w:hAnsi="Times New Roman" w:cs="Times New Roman"/>
          <w:b/>
        </w:rPr>
      </w:pPr>
      <w:r w:rsidRPr="00304CAE">
        <w:rPr>
          <w:rFonts w:ascii="Times New Roman" w:eastAsia="Times New Roman" w:hAnsi="Times New Roman" w:cs="Times New Roman"/>
          <w:b/>
        </w:rPr>
        <w:lastRenderedPageBreak/>
        <w:t>Implications for life cycle analysis</w:t>
      </w:r>
    </w:p>
    <w:p w14:paraId="66CDDABC" w14:textId="2384EE11"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t xml:space="preserve">Environmental life cycle analyses typically assess the environmental impacts of foods in terms of kgs. However, such practices fail to account for variation in nutritional value across and within food groups. Within vegetables, for example, cucumber has a lower nutritional value than spinach (Fig. </w:t>
      </w:r>
      <w:r w:rsidR="00823955">
        <w:rPr>
          <w:rFonts w:ascii="Times New Roman" w:eastAsia="Times New Roman" w:hAnsi="Times New Roman" w:cs="Times New Roman"/>
        </w:rPr>
        <w:t>3</w:t>
      </w:r>
      <w:r>
        <w:rPr>
          <w:rFonts w:ascii="Times New Roman" w:eastAsia="Times New Roman" w:hAnsi="Times New Roman" w:cs="Times New Roman"/>
        </w:rPr>
        <w:t xml:space="preserve">)—yet a typical environmental impact assessment would equate 1 kg of cucumber to 1 kg of spinach. Comparing foods in terms of Calories also inadequately accounts for nutritional differences. Within fruits, for example, watermelon has a lower nutritional value than mango (Fig. </w:t>
      </w:r>
      <w:r w:rsidR="00823955">
        <w:rPr>
          <w:rFonts w:ascii="Times New Roman" w:eastAsia="Times New Roman" w:hAnsi="Times New Roman" w:cs="Times New Roman"/>
        </w:rPr>
        <w:t>3</w:t>
      </w:r>
      <w:r>
        <w:rPr>
          <w:rFonts w:ascii="Times New Roman" w:eastAsia="Times New Roman" w:hAnsi="Times New Roman" w:cs="Times New Roman"/>
        </w:rPr>
        <w:t>)—yet a typical environmental impact assessment would equate 1,000 Calories of watermelon to 1,000 Calories of mango.</w:t>
      </w:r>
    </w:p>
    <w:p w14:paraId="024D5630" w14:textId="77777777" w:rsidR="00C05F6D" w:rsidRDefault="00C05F6D">
      <w:pPr>
        <w:spacing w:line="480" w:lineRule="auto"/>
        <w:rPr>
          <w:rFonts w:ascii="Times New Roman" w:eastAsia="Times New Roman" w:hAnsi="Times New Roman" w:cs="Times New Roman"/>
        </w:rPr>
      </w:pPr>
    </w:p>
    <w:p w14:paraId="66B8BF1D" w14:textId="6294E0CC" w:rsidR="00601A12"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NVS offers a </w:t>
      </w:r>
      <w:r w:rsidR="004C47E9">
        <w:rPr>
          <w:rFonts w:ascii="Times New Roman" w:eastAsia="Times New Roman" w:hAnsi="Times New Roman" w:cs="Times New Roman"/>
        </w:rPr>
        <w:t xml:space="preserve">more nutritionally appropriate </w:t>
      </w:r>
      <w:r>
        <w:rPr>
          <w:rFonts w:ascii="Times New Roman" w:eastAsia="Times New Roman" w:hAnsi="Times New Roman" w:cs="Times New Roman"/>
        </w:rPr>
        <w:t xml:space="preserve">way to assess environmental impacts of foods by measuring the nutritional value produced and standardizing it for comparisons within and across food groups. To illustrate, just </w:t>
      </w:r>
      <w:r w:rsidR="009F1457">
        <w:rPr>
          <w:rFonts w:ascii="Times New Roman" w:eastAsia="Times New Roman" w:hAnsi="Times New Roman" w:cs="Times New Roman"/>
        </w:rPr>
        <w:t xml:space="preserve">234 </w:t>
      </w:r>
      <w:r>
        <w:rPr>
          <w:rFonts w:ascii="Times New Roman" w:eastAsia="Times New Roman" w:hAnsi="Times New Roman" w:cs="Times New Roman"/>
        </w:rPr>
        <w:t xml:space="preserve">g of spinach is needed for a NVS of 100 whereas </w:t>
      </w:r>
      <w:r w:rsidR="009F1457">
        <w:rPr>
          <w:rFonts w:ascii="Times New Roman" w:eastAsia="Times New Roman" w:hAnsi="Times New Roman" w:cs="Times New Roman"/>
        </w:rPr>
        <w:t xml:space="preserve">527 </w:t>
      </w:r>
      <w:r>
        <w:rPr>
          <w:rFonts w:ascii="Times New Roman" w:eastAsia="Times New Roman" w:hAnsi="Times New Roman" w:cs="Times New Roman"/>
        </w:rPr>
        <w:t>g of cucumber is needed to achieve the same NVS (</w:t>
      </w:r>
      <w:r w:rsidR="009F1457">
        <w:rPr>
          <w:rFonts w:ascii="Times New Roman" w:eastAsia="Times New Roman" w:hAnsi="Times New Roman" w:cs="Times New Roman"/>
        </w:rPr>
        <w:t xml:space="preserve">Supplementary </w:t>
      </w:r>
      <w:r>
        <w:rPr>
          <w:rFonts w:ascii="Times New Roman" w:eastAsia="Times New Roman" w:hAnsi="Times New Roman" w:cs="Times New Roman"/>
        </w:rPr>
        <w:t xml:space="preserve">Fig. </w:t>
      </w:r>
      <w:r w:rsidR="009F1457">
        <w:rPr>
          <w:rFonts w:ascii="Times New Roman" w:eastAsia="Times New Roman" w:hAnsi="Times New Roman" w:cs="Times New Roman"/>
        </w:rPr>
        <w:t>14</w:t>
      </w:r>
      <w:r>
        <w:rPr>
          <w:rFonts w:ascii="Times New Roman" w:eastAsia="Times New Roman" w:hAnsi="Times New Roman" w:cs="Times New Roman"/>
        </w:rPr>
        <w:t xml:space="preserve">). It is also more appropriate to compare mango and watermelon using a fixed NVS rather than a fixed number of Calories. For example, just </w:t>
      </w:r>
      <w:r w:rsidR="00DD1FE2">
        <w:rPr>
          <w:rFonts w:ascii="Times New Roman" w:eastAsia="Times New Roman" w:hAnsi="Times New Roman" w:cs="Times New Roman"/>
        </w:rPr>
        <w:t xml:space="preserve">659 </w:t>
      </w:r>
      <w:r>
        <w:rPr>
          <w:rFonts w:ascii="Times New Roman" w:eastAsia="Times New Roman" w:hAnsi="Times New Roman" w:cs="Times New Roman"/>
        </w:rPr>
        <w:t xml:space="preserve">Calories of mango is needed for a NVS of 100 whereas </w:t>
      </w:r>
      <w:r w:rsidR="00463209">
        <w:rPr>
          <w:rFonts w:ascii="Times New Roman" w:eastAsia="Times New Roman" w:hAnsi="Times New Roman" w:cs="Times New Roman"/>
        </w:rPr>
        <w:t>1,004</w:t>
      </w:r>
      <w:r>
        <w:rPr>
          <w:rFonts w:ascii="Times New Roman" w:eastAsia="Times New Roman" w:hAnsi="Times New Roman" w:cs="Times New Roman"/>
        </w:rPr>
        <w:t xml:space="preserve"> Calories of watermelon is needed to achieve the same NVS (Supplementary Fig. </w:t>
      </w:r>
      <w:r w:rsidR="001A63E2">
        <w:rPr>
          <w:rFonts w:ascii="Times New Roman" w:eastAsia="Times New Roman" w:hAnsi="Times New Roman" w:cs="Times New Roman"/>
        </w:rPr>
        <w:t>15</w:t>
      </w:r>
      <w:r>
        <w:rPr>
          <w:rFonts w:ascii="Times New Roman" w:eastAsia="Times New Roman" w:hAnsi="Times New Roman" w:cs="Times New Roman"/>
        </w:rPr>
        <w:t>).</w:t>
      </w:r>
    </w:p>
    <w:p w14:paraId="277F9B60" w14:textId="77777777" w:rsidR="00601A12" w:rsidRDefault="00601A12">
      <w:pPr>
        <w:spacing w:line="480" w:lineRule="auto"/>
        <w:rPr>
          <w:rFonts w:ascii="Times New Roman" w:eastAsia="Times New Roman" w:hAnsi="Times New Roman" w:cs="Times New Roman"/>
        </w:rPr>
      </w:pPr>
    </w:p>
    <w:p w14:paraId="21D2B4D3" w14:textId="3509C126" w:rsidR="00601A12" w:rsidRPr="0069624F" w:rsidRDefault="00601A12">
      <w:pPr>
        <w:spacing w:line="480" w:lineRule="auto"/>
        <w:rPr>
          <w:rFonts w:ascii="Times New Roman" w:eastAsia="Times New Roman" w:hAnsi="Times New Roman" w:cs="Times New Roman"/>
          <w:b/>
        </w:rPr>
      </w:pPr>
      <w:r>
        <w:rPr>
          <w:rFonts w:ascii="Times New Roman" w:eastAsia="Times New Roman" w:hAnsi="Times New Roman" w:cs="Times New Roman"/>
          <w:b/>
        </w:rPr>
        <w:t>Sensitivity analyses</w:t>
      </w:r>
    </w:p>
    <w:p w14:paraId="48ED6485" w14:textId="2CCC1102" w:rsidR="00C05F6D" w:rsidRDefault="00601A12" w:rsidP="0069624F">
      <w:pPr>
        <w:spacing w:line="480" w:lineRule="auto"/>
        <w:rPr>
          <w:rFonts w:ascii="Times New Roman" w:eastAsia="Times New Roman" w:hAnsi="Times New Roman" w:cs="Times New Roman"/>
        </w:rPr>
      </w:pPr>
      <w:r w:rsidRPr="00601A12">
        <w:rPr>
          <w:rFonts w:ascii="Times New Roman" w:eastAsia="Times New Roman" w:hAnsi="Times New Roman" w:cs="Times New Roman"/>
        </w:rPr>
        <w:t>Each sensitivity analysis ha</w:t>
      </w:r>
      <w:r w:rsidR="00592C4B">
        <w:rPr>
          <w:rFonts w:ascii="Times New Roman" w:eastAsia="Times New Roman" w:hAnsi="Times New Roman" w:cs="Times New Roman"/>
        </w:rPr>
        <w:t>s</w:t>
      </w:r>
      <w:r w:rsidRPr="00601A12">
        <w:rPr>
          <w:rFonts w:ascii="Times New Roman" w:eastAsia="Times New Roman" w:hAnsi="Times New Roman" w:cs="Times New Roman"/>
        </w:rPr>
        <w:t xml:space="preserve"> different effects. Capping micronutrients at 50% of the </w:t>
      </w:r>
      <w:r w:rsidR="00CF41FA">
        <w:rPr>
          <w:rFonts w:ascii="Times New Roman" w:eastAsia="Times New Roman" w:hAnsi="Times New Roman" w:cs="Times New Roman"/>
        </w:rPr>
        <w:t>Recommended Nutrient Intake</w:t>
      </w:r>
      <w:r w:rsidRPr="00601A12">
        <w:rPr>
          <w:rFonts w:ascii="Times New Roman" w:eastAsia="Times New Roman" w:hAnsi="Times New Roman" w:cs="Times New Roman"/>
        </w:rPr>
        <w:t xml:space="preserve"> favor</w:t>
      </w:r>
      <w:r w:rsidR="00592C4B">
        <w:rPr>
          <w:rFonts w:ascii="Times New Roman" w:eastAsia="Times New Roman" w:hAnsi="Times New Roman" w:cs="Times New Roman"/>
        </w:rPr>
        <w:t>s</w:t>
      </w:r>
      <w:r w:rsidRPr="00601A12">
        <w:rPr>
          <w:rFonts w:ascii="Times New Roman" w:eastAsia="Times New Roman" w:hAnsi="Times New Roman" w:cs="Times New Roman"/>
        </w:rPr>
        <w:t xml:space="preserve"> foods containing a balance of micronutrients, while capping at 200% favor</w:t>
      </w:r>
      <w:r w:rsidR="00C913E6">
        <w:rPr>
          <w:rFonts w:ascii="Times New Roman" w:eastAsia="Times New Roman" w:hAnsi="Times New Roman" w:cs="Times New Roman"/>
        </w:rPr>
        <w:t>s</w:t>
      </w:r>
      <w:r w:rsidRPr="00601A12">
        <w:rPr>
          <w:rFonts w:ascii="Times New Roman" w:eastAsia="Times New Roman" w:hAnsi="Times New Roman" w:cs="Times New Roman"/>
        </w:rPr>
        <w:t xml:space="preserve"> foods with very high quantities of one or two vitamins or minerals</w:t>
      </w:r>
      <w:r w:rsidR="00A610C4">
        <w:rPr>
          <w:rFonts w:ascii="Times New Roman" w:eastAsia="Times New Roman" w:hAnsi="Times New Roman" w:cs="Times New Roman"/>
        </w:rPr>
        <w:t xml:space="preserve"> (Supplementary Table</w:t>
      </w:r>
      <w:r w:rsidR="00426566">
        <w:rPr>
          <w:rFonts w:ascii="Times New Roman" w:eastAsia="Times New Roman" w:hAnsi="Times New Roman" w:cs="Times New Roman"/>
        </w:rPr>
        <w:t>s</w:t>
      </w:r>
      <w:r w:rsidR="00A610C4">
        <w:rPr>
          <w:rFonts w:ascii="Times New Roman" w:eastAsia="Times New Roman" w:hAnsi="Times New Roman" w:cs="Times New Roman"/>
        </w:rPr>
        <w:t xml:space="preserve"> 5</w:t>
      </w:r>
      <w:r w:rsidR="00426566">
        <w:rPr>
          <w:rFonts w:ascii="Times New Roman" w:eastAsia="Times New Roman" w:hAnsi="Times New Roman" w:cs="Times New Roman"/>
        </w:rPr>
        <w:t>–6</w:t>
      </w:r>
      <w:r w:rsidR="00A610C4">
        <w:rPr>
          <w:rFonts w:ascii="Times New Roman" w:eastAsia="Times New Roman" w:hAnsi="Times New Roman" w:cs="Times New Roman"/>
        </w:rPr>
        <w:t>)</w:t>
      </w:r>
      <w:r w:rsidRPr="00601A12">
        <w:rPr>
          <w:rFonts w:ascii="Times New Roman" w:eastAsia="Times New Roman" w:hAnsi="Times New Roman" w:cs="Times New Roman"/>
        </w:rPr>
        <w:t>. Shifting the weights of dietary attributes ha</w:t>
      </w:r>
      <w:r w:rsidR="00DA2403">
        <w:rPr>
          <w:rFonts w:ascii="Times New Roman" w:eastAsia="Times New Roman" w:hAnsi="Times New Roman" w:cs="Times New Roman"/>
        </w:rPr>
        <w:t>s</w:t>
      </w:r>
      <w:r w:rsidRPr="00601A12">
        <w:rPr>
          <w:rFonts w:ascii="Times New Roman" w:eastAsia="Times New Roman" w:hAnsi="Times New Roman" w:cs="Times New Roman"/>
        </w:rPr>
        <w:t xml:space="preserve"> a </w:t>
      </w:r>
      <w:r w:rsidR="004E3A37">
        <w:rPr>
          <w:rFonts w:ascii="Times New Roman" w:eastAsia="Times New Roman" w:hAnsi="Times New Roman" w:cs="Times New Roman"/>
        </w:rPr>
        <w:t>notable</w:t>
      </w:r>
      <w:r w:rsidRPr="00601A12">
        <w:rPr>
          <w:rFonts w:ascii="Times New Roman" w:eastAsia="Times New Roman" w:hAnsi="Times New Roman" w:cs="Times New Roman"/>
        </w:rPr>
        <w:t xml:space="preserve"> effect on the NVS. Plant-based foods tend to score much higher on the NCD-focused NVS while </w:t>
      </w:r>
      <w:r w:rsidRPr="00601A12">
        <w:rPr>
          <w:rFonts w:ascii="Times New Roman" w:eastAsia="Times New Roman" w:hAnsi="Times New Roman" w:cs="Times New Roman"/>
        </w:rPr>
        <w:lastRenderedPageBreak/>
        <w:t>nutrient-dense plant-</w:t>
      </w:r>
      <w:r w:rsidR="00675F93">
        <w:rPr>
          <w:rFonts w:ascii="Times New Roman" w:eastAsia="Times New Roman" w:hAnsi="Times New Roman" w:cs="Times New Roman"/>
        </w:rPr>
        <w:t>source foods</w:t>
      </w:r>
      <w:r w:rsidRPr="00601A12">
        <w:rPr>
          <w:rFonts w:ascii="Times New Roman" w:eastAsia="Times New Roman" w:hAnsi="Times New Roman" w:cs="Times New Roman"/>
        </w:rPr>
        <w:t xml:space="preserve"> and animal</w:t>
      </w:r>
      <w:r w:rsidR="007E29CF">
        <w:rPr>
          <w:rFonts w:ascii="Times New Roman" w:eastAsia="Times New Roman" w:hAnsi="Times New Roman" w:cs="Times New Roman"/>
        </w:rPr>
        <w:t xml:space="preserve"> </w:t>
      </w:r>
      <w:r w:rsidRPr="00601A12">
        <w:rPr>
          <w:rFonts w:ascii="Times New Roman" w:eastAsia="Times New Roman" w:hAnsi="Times New Roman" w:cs="Times New Roman"/>
        </w:rPr>
        <w:t>source foods score higher on the nutrient-density-focused NVS</w:t>
      </w:r>
      <w:r w:rsidR="00426566">
        <w:rPr>
          <w:rFonts w:ascii="Times New Roman" w:eastAsia="Times New Roman" w:hAnsi="Times New Roman" w:cs="Times New Roman"/>
        </w:rPr>
        <w:t xml:space="preserve"> (Supplementary Table 7)</w:t>
      </w:r>
      <w:r w:rsidRPr="00601A12">
        <w:rPr>
          <w:rFonts w:ascii="Times New Roman" w:eastAsia="Times New Roman" w:hAnsi="Times New Roman" w:cs="Times New Roman"/>
        </w:rPr>
        <w:t xml:space="preserve">. Winsorizing </w:t>
      </w:r>
      <w:r w:rsidR="0017230A">
        <w:rPr>
          <w:rFonts w:ascii="Times New Roman" w:eastAsia="Times New Roman" w:hAnsi="Times New Roman" w:cs="Times New Roman"/>
        </w:rPr>
        <w:t>does</w:t>
      </w:r>
      <w:r w:rsidRPr="00601A12">
        <w:rPr>
          <w:rFonts w:ascii="Times New Roman" w:eastAsia="Times New Roman" w:hAnsi="Times New Roman" w:cs="Times New Roman"/>
        </w:rPr>
        <w:t xml:space="preserve"> not impact the relative ranking but move</w:t>
      </w:r>
      <w:r w:rsidR="000B57B7">
        <w:rPr>
          <w:rFonts w:ascii="Times New Roman" w:eastAsia="Times New Roman" w:hAnsi="Times New Roman" w:cs="Times New Roman"/>
        </w:rPr>
        <w:t>s</w:t>
      </w:r>
      <w:r w:rsidRPr="00601A12">
        <w:rPr>
          <w:rFonts w:ascii="Times New Roman" w:eastAsia="Times New Roman" w:hAnsi="Times New Roman" w:cs="Times New Roman"/>
        </w:rPr>
        <w:t xml:space="preserve"> foods near the highest and lowest NVS closer to the corresponding extreme</w:t>
      </w:r>
      <w:r w:rsidR="00426566">
        <w:rPr>
          <w:rFonts w:ascii="Times New Roman" w:eastAsia="Times New Roman" w:hAnsi="Times New Roman" w:cs="Times New Roman"/>
        </w:rPr>
        <w:t xml:space="preserve"> (Supplementary Table 8)</w:t>
      </w:r>
      <w:r w:rsidRPr="00601A12">
        <w:rPr>
          <w:rFonts w:ascii="Times New Roman" w:eastAsia="Times New Roman" w:hAnsi="Times New Roman" w:cs="Times New Roman"/>
        </w:rPr>
        <w:t>. Not adjusting for bioavailability of iron and zinc ha</w:t>
      </w:r>
      <w:r w:rsidR="00AC3497">
        <w:rPr>
          <w:rFonts w:ascii="Times New Roman" w:eastAsia="Times New Roman" w:hAnsi="Times New Roman" w:cs="Times New Roman"/>
        </w:rPr>
        <w:t>s</w:t>
      </w:r>
      <w:r w:rsidRPr="00601A12">
        <w:rPr>
          <w:rFonts w:ascii="Times New Roman" w:eastAsia="Times New Roman" w:hAnsi="Times New Roman" w:cs="Times New Roman"/>
        </w:rPr>
        <w:t xml:space="preserve"> a small impact on </w:t>
      </w:r>
      <w:r w:rsidR="00AC3497">
        <w:rPr>
          <w:rFonts w:ascii="Times New Roman" w:eastAsia="Times New Roman" w:hAnsi="Times New Roman" w:cs="Times New Roman"/>
        </w:rPr>
        <w:t xml:space="preserve">the </w:t>
      </w:r>
      <w:r w:rsidRPr="00601A12">
        <w:rPr>
          <w:rFonts w:ascii="Times New Roman" w:eastAsia="Times New Roman" w:hAnsi="Times New Roman" w:cs="Times New Roman"/>
        </w:rPr>
        <w:t>NVS per se, but significantly affect</w:t>
      </w:r>
      <w:r w:rsidR="00690DD2">
        <w:rPr>
          <w:rFonts w:ascii="Times New Roman" w:eastAsia="Times New Roman" w:hAnsi="Times New Roman" w:cs="Times New Roman"/>
        </w:rPr>
        <w:t>s</w:t>
      </w:r>
      <w:r w:rsidRPr="00601A12">
        <w:rPr>
          <w:rFonts w:ascii="Times New Roman" w:eastAsia="Times New Roman" w:hAnsi="Times New Roman" w:cs="Times New Roman"/>
        </w:rPr>
        <w:t xml:space="preserve"> the </w:t>
      </w:r>
      <w:r w:rsidR="008160BA">
        <w:rPr>
          <w:rFonts w:ascii="Times New Roman" w:eastAsia="Times New Roman" w:hAnsi="Times New Roman" w:cs="Times New Roman"/>
        </w:rPr>
        <w:t>m</w:t>
      </w:r>
      <w:r w:rsidRPr="00601A12">
        <w:rPr>
          <w:rFonts w:ascii="Times New Roman" w:eastAsia="Times New Roman" w:hAnsi="Times New Roman" w:cs="Times New Roman"/>
        </w:rPr>
        <w:t xml:space="preserve">ineral </w:t>
      </w:r>
      <w:r w:rsidR="008160BA">
        <w:rPr>
          <w:rFonts w:ascii="Times New Roman" w:eastAsia="Times New Roman" w:hAnsi="Times New Roman" w:cs="Times New Roman"/>
        </w:rPr>
        <w:t>s</w:t>
      </w:r>
      <w:r w:rsidRPr="00601A12">
        <w:rPr>
          <w:rFonts w:ascii="Times New Roman" w:eastAsia="Times New Roman" w:hAnsi="Times New Roman" w:cs="Times New Roman"/>
        </w:rPr>
        <w:t>cores</w:t>
      </w:r>
      <w:r w:rsidR="008160BA">
        <w:rPr>
          <w:rFonts w:ascii="Times New Roman" w:eastAsia="Times New Roman" w:hAnsi="Times New Roman" w:cs="Times New Roman"/>
        </w:rPr>
        <w:t xml:space="preserve"> (Supplementary Table 9)</w:t>
      </w:r>
      <w:r w:rsidRPr="00601A12">
        <w:rPr>
          <w:rFonts w:ascii="Times New Roman" w:eastAsia="Times New Roman" w:hAnsi="Times New Roman" w:cs="Times New Roman"/>
        </w:rPr>
        <w:t>. Finally, using mass as the sole reference unit favor</w:t>
      </w:r>
      <w:r w:rsidR="009B5DB4">
        <w:rPr>
          <w:rFonts w:ascii="Times New Roman" w:eastAsia="Times New Roman" w:hAnsi="Times New Roman" w:cs="Times New Roman"/>
        </w:rPr>
        <w:t>s</w:t>
      </w:r>
      <w:r w:rsidRPr="00601A12">
        <w:rPr>
          <w:rFonts w:ascii="Times New Roman" w:eastAsia="Times New Roman" w:hAnsi="Times New Roman" w:cs="Times New Roman"/>
        </w:rPr>
        <w:t xml:space="preserve"> animal</w:t>
      </w:r>
      <w:r w:rsidR="007E29CF">
        <w:rPr>
          <w:rFonts w:ascii="Times New Roman" w:eastAsia="Times New Roman" w:hAnsi="Times New Roman" w:cs="Times New Roman"/>
        </w:rPr>
        <w:t xml:space="preserve"> </w:t>
      </w:r>
      <w:r w:rsidRPr="00601A12">
        <w:rPr>
          <w:rFonts w:ascii="Times New Roman" w:eastAsia="Times New Roman" w:hAnsi="Times New Roman" w:cs="Times New Roman"/>
        </w:rPr>
        <w:t>source foods and nuts and seeds; using energy as the sole reference unit favor</w:t>
      </w:r>
      <w:r w:rsidR="009B5DB4">
        <w:rPr>
          <w:rFonts w:ascii="Times New Roman" w:eastAsia="Times New Roman" w:hAnsi="Times New Roman" w:cs="Times New Roman"/>
        </w:rPr>
        <w:t>s</w:t>
      </w:r>
      <w:r w:rsidRPr="00601A12">
        <w:rPr>
          <w:rFonts w:ascii="Times New Roman" w:eastAsia="Times New Roman" w:hAnsi="Times New Roman" w:cs="Times New Roman"/>
        </w:rPr>
        <w:t xml:space="preserve"> nutrient-dense vegetables</w:t>
      </w:r>
      <w:r w:rsidR="003136B0">
        <w:rPr>
          <w:rFonts w:ascii="Times New Roman" w:eastAsia="Times New Roman" w:hAnsi="Times New Roman" w:cs="Times New Roman"/>
        </w:rPr>
        <w:t xml:space="preserve"> (Supplementary Table 10, Supplementary Figs. 16–17)</w:t>
      </w:r>
      <w:r w:rsidRPr="00601A12">
        <w:rPr>
          <w:rFonts w:ascii="Times New Roman" w:eastAsia="Times New Roman" w:hAnsi="Times New Roman" w:cs="Times New Roman"/>
        </w:rPr>
        <w:t xml:space="preserve">. </w:t>
      </w:r>
      <w:r w:rsidR="005B7E3E">
        <w:rPr>
          <w:rFonts w:ascii="Times New Roman" w:eastAsia="Times New Roman" w:hAnsi="Times New Roman" w:cs="Times New Roman"/>
        </w:rPr>
        <w:t>More details of the sensitivity analyses are available in the Supplementary Material.</w:t>
      </w:r>
    </w:p>
    <w:p w14:paraId="5C283989" w14:textId="77777777" w:rsidR="00C05F6D" w:rsidRDefault="00C05F6D">
      <w:pPr>
        <w:spacing w:line="480" w:lineRule="auto"/>
        <w:rPr>
          <w:rFonts w:ascii="Times New Roman" w:eastAsia="Times New Roman" w:hAnsi="Times New Roman" w:cs="Times New Roman"/>
        </w:rPr>
      </w:pPr>
    </w:p>
    <w:p w14:paraId="0E3432A3" w14:textId="77777777" w:rsidR="00C05F6D" w:rsidRDefault="000D22B3">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Discussion</w:t>
      </w:r>
    </w:p>
    <w:p w14:paraId="6263C018" w14:textId="75CD600A" w:rsidR="001D5D22" w:rsidRDefault="001D5D22" w:rsidP="00B54568">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NVS was able to </w:t>
      </w:r>
      <w:r w:rsidR="001A7E61">
        <w:rPr>
          <w:rFonts w:ascii="Times New Roman" w:eastAsia="Times New Roman" w:hAnsi="Times New Roman" w:cs="Times New Roman"/>
        </w:rPr>
        <w:t>identify</w:t>
      </w:r>
      <w:r>
        <w:rPr>
          <w:rFonts w:ascii="Times New Roman" w:eastAsia="Times New Roman" w:hAnsi="Times New Roman" w:cs="Times New Roman"/>
        </w:rPr>
        <w:t xml:space="preserve"> </w:t>
      </w:r>
      <w:r w:rsidR="00851175">
        <w:rPr>
          <w:rFonts w:ascii="Times New Roman" w:eastAsia="Times New Roman" w:hAnsi="Times New Roman" w:cs="Times New Roman"/>
        </w:rPr>
        <w:t xml:space="preserve">recommended </w:t>
      </w:r>
      <w:r>
        <w:rPr>
          <w:rFonts w:ascii="Times New Roman" w:eastAsia="Times New Roman" w:hAnsi="Times New Roman" w:cs="Times New Roman"/>
        </w:rPr>
        <w:t xml:space="preserve">food </w:t>
      </w:r>
      <w:r w:rsidR="004610FD">
        <w:rPr>
          <w:rFonts w:ascii="Times New Roman" w:eastAsia="Times New Roman" w:hAnsi="Times New Roman" w:cs="Times New Roman"/>
        </w:rPr>
        <w:t>sub-</w:t>
      </w:r>
      <w:r>
        <w:rPr>
          <w:rFonts w:ascii="Times New Roman" w:eastAsia="Times New Roman" w:hAnsi="Times New Roman" w:cs="Times New Roman"/>
        </w:rPr>
        <w:t xml:space="preserve">groups with </w:t>
      </w:r>
      <w:r w:rsidR="00C744FC">
        <w:rPr>
          <w:rFonts w:ascii="Times New Roman" w:eastAsia="Times New Roman" w:hAnsi="Times New Roman" w:cs="Times New Roman"/>
        </w:rPr>
        <w:t xml:space="preserve">high </w:t>
      </w:r>
      <w:r>
        <w:rPr>
          <w:rFonts w:ascii="Times New Roman" w:eastAsia="Times New Roman" w:hAnsi="Times New Roman" w:cs="Times New Roman"/>
        </w:rPr>
        <w:t xml:space="preserve">nutritional value, including organ meats, dark green leafy vegetables, and fish and seafood, </w:t>
      </w:r>
      <w:r w:rsidR="00537795">
        <w:rPr>
          <w:rFonts w:ascii="Times New Roman" w:eastAsia="Times New Roman" w:hAnsi="Times New Roman" w:cs="Times New Roman"/>
        </w:rPr>
        <w:t xml:space="preserve">from </w:t>
      </w:r>
      <w:r w:rsidR="00733F79">
        <w:rPr>
          <w:rFonts w:ascii="Times New Roman" w:eastAsia="Times New Roman" w:hAnsi="Times New Roman" w:cs="Times New Roman"/>
        </w:rPr>
        <w:t>sub-groups</w:t>
      </w:r>
      <w:r w:rsidR="00537795">
        <w:rPr>
          <w:rFonts w:ascii="Times New Roman" w:eastAsia="Times New Roman" w:hAnsi="Times New Roman" w:cs="Times New Roman"/>
        </w:rPr>
        <w:t xml:space="preserve"> with lower </w:t>
      </w:r>
      <w:r w:rsidR="00F77F3C">
        <w:rPr>
          <w:rFonts w:ascii="Times New Roman" w:eastAsia="Times New Roman" w:hAnsi="Times New Roman" w:cs="Times New Roman"/>
        </w:rPr>
        <w:t>nutritional value, such as refined grains</w:t>
      </w:r>
      <w:r w:rsidR="00F463A9">
        <w:rPr>
          <w:rFonts w:ascii="Times New Roman" w:eastAsia="Times New Roman" w:hAnsi="Times New Roman" w:cs="Times New Roman"/>
        </w:rPr>
        <w:t xml:space="preserve">, demonstrating high discriminatory power </w:t>
      </w:r>
      <w:r w:rsidR="009662B5">
        <w:rPr>
          <w:rFonts w:ascii="Times New Roman" w:eastAsia="Times New Roman" w:hAnsi="Times New Roman" w:cs="Times New Roman"/>
        </w:rPr>
        <w:t>across food sub-groups</w:t>
      </w:r>
      <w:r w:rsidR="00F77F3C">
        <w:rPr>
          <w:rFonts w:ascii="Times New Roman" w:eastAsia="Times New Roman" w:hAnsi="Times New Roman" w:cs="Times New Roman"/>
        </w:rPr>
        <w:t>.</w:t>
      </w:r>
      <w:r w:rsidR="00B729EC">
        <w:rPr>
          <w:rFonts w:ascii="Times New Roman" w:eastAsia="Times New Roman" w:hAnsi="Times New Roman" w:cs="Times New Roman"/>
        </w:rPr>
        <w:t xml:space="preserve"> </w:t>
      </w:r>
      <w:r w:rsidR="00552CB0">
        <w:rPr>
          <w:rFonts w:ascii="Times New Roman" w:eastAsia="Times New Roman" w:hAnsi="Times New Roman" w:cs="Times New Roman"/>
        </w:rPr>
        <w:t xml:space="preserve">In contrast, Nutri-Score </w:t>
      </w:r>
      <w:r w:rsidR="000F25D0">
        <w:rPr>
          <w:rFonts w:ascii="Times New Roman" w:eastAsia="Times New Roman" w:hAnsi="Times New Roman" w:cs="Times New Roman"/>
        </w:rPr>
        <w:t xml:space="preserve">assigned all organ meats and fish and seafood products a C </w:t>
      </w:r>
      <w:r w:rsidR="00280EA0">
        <w:rPr>
          <w:rFonts w:ascii="Times New Roman" w:eastAsia="Times New Roman" w:hAnsi="Times New Roman" w:cs="Times New Roman"/>
        </w:rPr>
        <w:t>rating yet</w:t>
      </w:r>
      <w:r w:rsidR="000F25D0">
        <w:rPr>
          <w:rFonts w:ascii="Times New Roman" w:eastAsia="Times New Roman" w:hAnsi="Times New Roman" w:cs="Times New Roman"/>
        </w:rPr>
        <w:t xml:space="preserve"> assigned </w:t>
      </w:r>
      <w:r w:rsidR="003529D4">
        <w:rPr>
          <w:rFonts w:ascii="Times New Roman" w:eastAsia="Times New Roman" w:hAnsi="Times New Roman" w:cs="Times New Roman"/>
        </w:rPr>
        <w:t xml:space="preserve">most </w:t>
      </w:r>
      <w:r w:rsidR="00037001">
        <w:rPr>
          <w:rFonts w:ascii="Times New Roman" w:eastAsia="Times New Roman" w:hAnsi="Times New Roman" w:cs="Times New Roman"/>
        </w:rPr>
        <w:t xml:space="preserve">refined grains </w:t>
      </w:r>
      <w:r w:rsidR="000F25D0">
        <w:rPr>
          <w:rFonts w:ascii="Times New Roman" w:eastAsia="Times New Roman" w:hAnsi="Times New Roman" w:cs="Times New Roman"/>
        </w:rPr>
        <w:t>a B rating.</w:t>
      </w:r>
      <w:r w:rsidR="00FE0BDA">
        <w:rPr>
          <w:rFonts w:ascii="Times New Roman" w:eastAsia="Times New Roman" w:hAnsi="Times New Roman" w:cs="Times New Roman"/>
        </w:rPr>
        <w:t xml:space="preserve"> </w:t>
      </w:r>
      <w:r w:rsidR="006C54A8">
        <w:rPr>
          <w:rFonts w:ascii="Times New Roman" w:eastAsia="Times New Roman" w:hAnsi="Times New Roman" w:cs="Times New Roman"/>
        </w:rPr>
        <w:t xml:space="preserve">The NVS also provided more discriminatory power within broad food groups. For example, all fruits and vegetables except for coconut and cauliflower received A ratings </w:t>
      </w:r>
      <w:r w:rsidR="00A22F9E">
        <w:rPr>
          <w:rFonts w:ascii="Times New Roman" w:eastAsia="Times New Roman" w:hAnsi="Times New Roman" w:cs="Times New Roman"/>
        </w:rPr>
        <w:t>according to</w:t>
      </w:r>
      <w:r w:rsidR="006C54A8">
        <w:rPr>
          <w:rFonts w:ascii="Times New Roman" w:eastAsia="Times New Roman" w:hAnsi="Times New Roman" w:cs="Times New Roman"/>
        </w:rPr>
        <w:t xml:space="preserve"> Nutri-Score</w:t>
      </w:r>
      <w:r w:rsidR="002D1D65">
        <w:rPr>
          <w:rFonts w:ascii="Times New Roman" w:eastAsia="Times New Roman" w:hAnsi="Times New Roman" w:cs="Times New Roman"/>
        </w:rPr>
        <w:t xml:space="preserve"> and 5 </w:t>
      </w:r>
      <w:r w:rsidR="00702D76">
        <w:rPr>
          <w:rFonts w:ascii="Times New Roman" w:eastAsia="Times New Roman" w:hAnsi="Times New Roman" w:cs="Times New Roman"/>
        </w:rPr>
        <w:t>s</w:t>
      </w:r>
      <w:r w:rsidR="002D1D65">
        <w:rPr>
          <w:rFonts w:ascii="Times New Roman" w:eastAsia="Times New Roman" w:hAnsi="Times New Roman" w:cs="Times New Roman"/>
        </w:rPr>
        <w:t xml:space="preserve">tars </w:t>
      </w:r>
      <w:r w:rsidR="00A22F9E">
        <w:rPr>
          <w:rFonts w:ascii="Times New Roman" w:eastAsia="Times New Roman" w:hAnsi="Times New Roman" w:cs="Times New Roman"/>
        </w:rPr>
        <w:t>according to</w:t>
      </w:r>
      <w:r w:rsidR="002D1D65">
        <w:rPr>
          <w:rFonts w:ascii="Times New Roman" w:eastAsia="Times New Roman" w:hAnsi="Times New Roman" w:cs="Times New Roman"/>
        </w:rPr>
        <w:t xml:space="preserve"> Health Star Rating</w:t>
      </w:r>
      <w:r w:rsidR="007F5887">
        <w:rPr>
          <w:rFonts w:ascii="Times New Roman" w:eastAsia="Times New Roman" w:hAnsi="Times New Roman" w:cs="Times New Roman"/>
        </w:rPr>
        <w:t>; y</w:t>
      </w:r>
      <w:r w:rsidR="00B1421F">
        <w:rPr>
          <w:rFonts w:ascii="Times New Roman" w:eastAsia="Times New Roman" w:hAnsi="Times New Roman" w:cs="Times New Roman"/>
        </w:rPr>
        <w:t>et</w:t>
      </w:r>
      <w:r w:rsidR="006C54A8">
        <w:rPr>
          <w:rFonts w:ascii="Times New Roman" w:eastAsia="Times New Roman" w:hAnsi="Times New Roman" w:cs="Times New Roman"/>
        </w:rPr>
        <w:t xml:space="preserve">, the NVS </w:t>
      </w:r>
      <w:r w:rsidR="00A61157">
        <w:rPr>
          <w:rFonts w:ascii="Times New Roman" w:eastAsia="Times New Roman" w:hAnsi="Times New Roman" w:cs="Times New Roman"/>
        </w:rPr>
        <w:t xml:space="preserve">rated fruits and vegetables with higher nutritional value like </w:t>
      </w:r>
      <w:r w:rsidR="008B098A">
        <w:rPr>
          <w:rFonts w:ascii="Times New Roman" w:eastAsia="Times New Roman" w:hAnsi="Times New Roman" w:cs="Times New Roman"/>
        </w:rPr>
        <w:t xml:space="preserve">guava </w:t>
      </w:r>
      <w:r w:rsidR="00DF72C3">
        <w:rPr>
          <w:rFonts w:ascii="Times New Roman" w:eastAsia="Times New Roman" w:hAnsi="Times New Roman" w:cs="Times New Roman"/>
        </w:rPr>
        <w:t xml:space="preserve">and </w:t>
      </w:r>
      <w:r w:rsidR="00132172">
        <w:rPr>
          <w:rFonts w:ascii="Times New Roman" w:eastAsia="Times New Roman" w:hAnsi="Times New Roman" w:cs="Times New Roman"/>
        </w:rPr>
        <w:t xml:space="preserve">spinach </w:t>
      </w:r>
      <w:r w:rsidR="003C3591">
        <w:rPr>
          <w:rFonts w:ascii="Times New Roman" w:eastAsia="Times New Roman" w:hAnsi="Times New Roman" w:cs="Times New Roman"/>
        </w:rPr>
        <w:t xml:space="preserve">much higher than </w:t>
      </w:r>
      <w:r w:rsidR="00F034E4">
        <w:rPr>
          <w:rFonts w:ascii="Times New Roman" w:eastAsia="Times New Roman" w:hAnsi="Times New Roman" w:cs="Times New Roman"/>
        </w:rPr>
        <w:t>fruits and vegetables with lower nutritional value</w:t>
      </w:r>
      <w:r w:rsidR="00455CF5">
        <w:rPr>
          <w:rFonts w:ascii="Times New Roman" w:eastAsia="Times New Roman" w:hAnsi="Times New Roman" w:cs="Times New Roman"/>
        </w:rPr>
        <w:t xml:space="preserve">, like </w:t>
      </w:r>
      <w:r w:rsidR="00E62F09">
        <w:rPr>
          <w:rFonts w:ascii="Times New Roman" w:eastAsia="Times New Roman" w:hAnsi="Times New Roman" w:cs="Times New Roman"/>
        </w:rPr>
        <w:t xml:space="preserve">watermelon and </w:t>
      </w:r>
      <w:r w:rsidR="00455CF5">
        <w:rPr>
          <w:rFonts w:ascii="Times New Roman" w:eastAsia="Times New Roman" w:hAnsi="Times New Roman" w:cs="Times New Roman"/>
        </w:rPr>
        <w:t>eggplant.</w:t>
      </w:r>
      <w:r w:rsidR="00B54568">
        <w:rPr>
          <w:rFonts w:ascii="Times New Roman" w:eastAsia="Times New Roman" w:hAnsi="Times New Roman" w:cs="Times New Roman"/>
        </w:rPr>
        <w:t xml:space="preserve"> Health Star Ratings </w:t>
      </w:r>
      <w:r w:rsidR="00532BA0">
        <w:rPr>
          <w:rFonts w:ascii="Times New Roman" w:eastAsia="Times New Roman" w:hAnsi="Times New Roman" w:cs="Times New Roman"/>
        </w:rPr>
        <w:t xml:space="preserve">overall </w:t>
      </w:r>
      <w:r w:rsidR="00B54568">
        <w:rPr>
          <w:rFonts w:ascii="Times New Roman" w:eastAsia="Times New Roman" w:hAnsi="Times New Roman" w:cs="Times New Roman"/>
        </w:rPr>
        <w:t>were more correlated with the NVS, scoring organ meat</w:t>
      </w:r>
      <w:r w:rsidR="00A504E0">
        <w:rPr>
          <w:rFonts w:ascii="Times New Roman" w:eastAsia="Times New Roman" w:hAnsi="Times New Roman" w:cs="Times New Roman"/>
        </w:rPr>
        <w:t>s</w:t>
      </w:r>
      <w:r w:rsidR="00B54568">
        <w:rPr>
          <w:rFonts w:ascii="Times New Roman" w:eastAsia="Times New Roman" w:hAnsi="Times New Roman" w:cs="Times New Roman"/>
        </w:rPr>
        <w:t>, lean meat</w:t>
      </w:r>
      <w:r w:rsidR="00353F6D">
        <w:rPr>
          <w:rFonts w:ascii="Times New Roman" w:eastAsia="Times New Roman" w:hAnsi="Times New Roman" w:cs="Times New Roman"/>
        </w:rPr>
        <w:t>s</w:t>
      </w:r>
      <w:r w:rsidR="00B54568">
        <w:rPr>
          <w:rFonts w:ascii="Times New Roman" w:eastAsia="Times New Roman" w:hAnsi="Times New Roman" w:cs="Times New Roman"/>
        </w:rPr>
        <w:t>, and fish and seafood 4 stars o</w:t>
      </w:r>
      <w:r w:rsidR="00803796">
        <w:rPr>
          <w:rFonts w:ascii="Times New Roman" w:eastAsia="Times New Roman" w:hAnsi="Times New Roman" w:cs="Times New Roman"/>
        </w:rPr>
        <w:t>r</w:t>
      </w:r>
      <w:r w:rsidR="00B54568">
        <w:rPr>
          <w:rFonts w:ascii="Times New Roman" w:eastAsia="Times New Roman" w:hAnsi="Times New Roman" w:cs="Times New Roman"/>
        </w:rPr>
        <w:t xml:space="preserve"> higher.</w:t>
      </w:r>
    </w:p>
    <w:p w14:paraId="6A367C8F" w14:textId="77777777" w:rsidR="001D5D22" w:rsidRDefault="001D5D22">
      <w:pPr>
        <w:spacing w:line="480" w:lineRule="auto"/>
        <w:rPr>
          <w:rFonts w:ascii="Times New Roman" w:eastAsia="Times New Roman" w:hAnsi="Times New Roman" w:cs="Times New Roman"/>
        </w:rPr>
      </w:pPr>
    </w:p>
    <w:p w14:paraId="03873FFB" w14:textId="03672BBA"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The NVS and its component scores are useful for guiding policies and programs and can be tailored for target populations like women and young children. It complements food-based dietary guidelines because it discriminates the nutritional value of foods within commonly recommended food groups: fruits; vegetables; legumes, nuts, and seeds; animal source foods; and starchy staples</w:t>
      </w:r>
      <w:r w:rsidR="00275DBA" w:rsidRPr="00F549CC">
        <w:rPr>
          <w:rFonts w:ascii="Times New Roman" w:hAnsi="Times New Roman" w:cs="Times New Roman"/>
        </w:rPr>
        <w:fldChar w:fldCharType="begin"/>
      </w:r>
      <w:r w:rsidR="007267F7">
        <w:rPr>
          <w:rFonts w:ascii="Times New Roman" w:hAnsi="Times New Roman" w:cs="Times New Roman"/>
        </w:rPr>
        <w:instrText xml:space="preserve"> ADDIN ZOTERO_ITEM CSL_CITATION {"citationID":"GqCXVzZN","properties":{"formattedCitation":"\\super 9\\nosupersub{}","plainCitation":"9","noteIndex":0},"citationItems":[{"id":3803,"uris":["http://zotero.org/users/2850877/items/WGP4BH3C"],"itemData":{"id":3803,"type":"article-journal","abstract":"The objective of this review is to provide a concise, descriptive global review of current food-based dietary guidelines (FBDG), and to assess similarities and differences in key elements of a healthy diet articulated across countries. Information was sourced from the FBDG repository of the FAO, which catalogs FBDG for all countries where they are available, including a description of the food guide (the graphic representation of the dietary guidelines), a set of key messages, and downloadable documents provided by the countries. FBDG are currently available for 90 countries globally: 7 in Africa, 17 in Asia and the Pacific, 33 in Europe, 27 in Latin America and the Caribbean, 4 in the Near East, and 2 in North America. The year of publication of current versions ranges from 1986 to 2017 (mean 2009). This review provides summaries of the key messages and food guides that are used to communicate national dietary guidance, organized by food group, and evaluates the extent to which each set of FBDG includes existing recommendations articulated by the WHO. Some guidance appears nearly universally across countries: to consume a variety of foods; to consume some foods in higher proportion than others; to consume fruits and vegetables, legumes, and animal-source foods; and to limit sugar, fat, and salt. Guidelines on dairy, red meat, fats and oils, and nuts are more variable. Although WHO global guidance encourages consumption of nuts, whole grains, and healthy fats, these messages are not universally echoed across countries. Future frontiers in FBDG development include the incorporation of environmental sustainability and increased attention to sociocultural factors including rapidly changing dietary trends. Steps toward regional and global dietary recommendations could be helpful for refinement of country-level FBDG, and for clear communication and measurement of diet quality both nationally and globally.","container-title":"Advances in Nutrition","DOI":"10.1093/advances/nmy130","ISSN":"2161-8313","issue":"4","journalAbbreviation":"Advances in Nutrition","page":"590-605","source":"Silverchair","title":"A Global Review of Food-Based Dietary Guidelines","volume":"10","author":[{"family":"Herforth","given":"Anna"},{"family":"Arimond","given":"Mary"},{"family":"Álvarez-Sánchez","given":"Cristina"},{"family":"Coates","given":"Jennifer"},{"family":"Christianson","given":"Karin"},{"family":"Muehlhoff","given":"Ellen"}],"issued":{"date-parts":[["2019",7,1]]}}}],"schema":"https://github.com/citation-style-language/schema/raw/master/csl-citation.json"} </w:instrText>
      </w:r>
      <w:r w:rsidR="00275DBA" w:rsidRPr="00F549CC">
        <w:rPr>
          <w:rFonts w:ascii="Times New Roman" w:hAnsi="Times New Roman" w:cs="Times New Roman"/>
        </w:rPr>
        <w:fldChar w:fldCharType="separate"/>
      </w:r>
      <w:r w:rsidR="007267F7" w:rsidRPr="007267F7">
        <w:rPr>
          <w:rFonts w:ascii="Times New Roman" w:hAnsi="Times New Roman" w:cs="Times New Roman"/>
          <w:kern w:val="0"/>
          <w:vertAlign w:val="superscript"/>
        </w:rPr>
        <w:t>9</w:t>
      </w:r>
      <w:r w:rsidR="00275DBA" w:rsidRPr="00F549CC">
        <w:rPr>
          <w:rFonts w:ascii="Times New Roman" w:hAnsi="Times New Roman" w:cs="Times New Roman"/>
        </w:rPr>
        <w:fldChar w:fldCharType="end"/>
      </w:r>
      <w:r>
        <w:rPr>
          <w:rFonts w:ascii="Times New Roman" w:eastAsia="Times New Roman" w:hAnsi="Times New Roman" w:cs="Times New Roman"/>
        </w:rPr>
        <w:t xml:space="preserve">. Therefore, policy makers and program implementers can prioritize promoting and increasing access to the most nutritious foods within each </w:t>
      </w:r>
      <w:r w:rsidR="0055667D">
        <w:rPr>
          <w:rFonts w:ascii="Times New Roman" w:eastAsia="Times New Roman" w:hAnsi="Times New Roman" w:cs="Times New Roman"/>
        </w:rPr>
        <w:t xml:space="preserve">broad </w:t>
      </w:r>
      <w:r>
        <w:rPr>
          <w:rFonts w:ascii="Times New Roman" w:eastAsia="Times New Roman" w:hAnsi="Times New Roman" w:cs="Times New Roman"/>
        </w:rPr>
        <w:t>food group to achieve greater health impacts.</w:t>
      </w:r>
    </w:p>
    <w:p w14:paraId="76AE2C77" w14:textId="77777777" w:rsidR="00C05F6D" w:rsidRDefault="00C05F6D">
      <w:pPr>
        <w:spacing w:line="480" w:lineRule="auto"/>
        <w:rPr>
          <w:rFonts w:ascii="Times New Roman" w:eastAsia="Times New Roman" w:hAnsi="Times New Roman" w:cs="Times New Roman"/>
        </w:rPr>
      </w:pPr>
    </w:p>
    <w:p w14:paraId="12ECB87C" w14:textId="675EC97C"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t>The NVS is also designed for use as a functional unit in life cycle assessments to estimate environmental impacts per unit nutritional value. Identifying better options for such assessments is essential, as current practices vary widely</w:t>
      </w:r>
      <w:r w:rsidR="00F32EB2" w:rsidRPr="00F549CC">
        <w:rPr>
          <w:rFonts w:ascii="Times New Roman" w:hAnsi="Times New Roman" w:cs="Times New Roman"/>
        </w:rPr>
        <w:fldChar w:fldCharType="begin"/>
      </w:r>
      <w:r w:rsidR="007267F7">
        <w:rPr>
          <w:rFonts w:ascii="Times New Roman" w:hAnsi="Times New Roman" w:cs="Times New Roman"/>
        </w:rPr>
        <w:instrText xml:space="preserve"> ADDIN ZOTERO_ITEM CSL_CITATION {"citationID":"a1sbnqjc9qg","properties":{"formattedCitation":"\\super 10\\nosupersub{}","plainCitation":"10","noteIndex":0},"citationItems":[{"id":4131,"uris":["http://zotero.org/users/2850877/items/K2WWXD38"],"itemData":{"id":4131,"type":"article-journal","abstract":"To holistically assess the sustainability of our global and local food systems, we need methods that combine environmental and nutritional/health dimensions. One option is nutritional life cycle assessment in which a nutrient or health metric is incorporated into standard environmental life cycle assessment. Measuring nutritional and environmental outcomes in tandem can help elucidate new results that can aid farmers, policymakers, industry, and consumers in transitioning to a food system that is more beneficial for our planet and our health. However, the development of nutrient profiling metrics is still ongoing; thus, we develop and test, with case studies, the “points of differentiation” framework to guide the use of these algorithms in sustainability analyses.","container-title":"The International Journal of Life Cycle Assessment","DOI":"10.1007/s11367-023-02210-9","ISSN":"1614-7502","issue":"10","journalAbbreviation":"Int J Life Cycle Assess","language":"en","page":"1326-1347","source":"Springer Link","title":"A proposed framework to develop nutrient profiling algorithms for assessments of sustainable food: the metrics and their assumptions matter","title-short":"A proposed framework to develop nutrient profiling algorithms for assessments of sustainable food","volume":"28","author":[{"family":"Green","given":"Ashley"},{"family":"Nemecek","given":"Thomas"},{"family":"Mathys","given":"Alexander"}],"issued":{"date-parts":[["2023",10,1]]}}}],"schema":"https://github.com/citation-style-language/schema/raw/master/csl-citation.json"} </w:instrText>
      </w:r>
      <w:r w:rsidR="00F32EB2" w:rsidRPr="00F549CC">
        <w:rPr>
          <w:rFonts w:ascii="Times New Roman" w:hAnsi="Times New Roman" w:cs="Times New Roman"/>
        </w:rPr>
        <w:fldChar w:fldCharType="separate"/>
      </w:r>
      <w:r w:rsidR="007267F7" w:rsidRPr="007267F7">
        <w:rPr>
          <w:rFonts w:ascii="Times New Roman" w:hAnsi="Times New Roman" w:cs="Times New Roman"/>
          <w:kern w:val="0"/>
          <w:vertAlign w:val="superscript"/>
        </w:rPr>
        <w:t>10</w:t>
      </w:r>
      <w:r w:rsidR="00F32EB2" w:rsidRPr="00F549CC">
        <w:rPr>
          <w:rFonts w:ascii="Times New Roman" w:hAnsi="Times New Roman" w:cs="Times New Roman"/>
        </w:rPr>
        <w:fldChar w:fldCharType="end"/>
      </w:r>
      <w:r>
        <w:rPr>
          <w:rFonts w:ascii="Times New Roman" w:eastAsia="Times New Roman" w:hAnsi="Times New Roman" w:cs="Times New Roman"/>
        </w:rPr>
        <w:t>, with no scientific consensus</w:t>
      </w:r>
      <w:r w:rsidR="00F32EB2" w:rsidRPr="00F549CC">
        <w:rPr>
          <w:rFonts w:ascii="Times New Roman" w:hAnsi="Times New Roman" w:cs="Times New Roman"/>
        </w:rPr>
        <w:fldChar w:fldCharType="begin"/>
      </w:r>
      <w:r w:rsidR="007267F7">
        <w:rPr>
          <w:rFonts w:ascii="Times New Roman" w:hAnsi="Times New Roman" w:cs="Times New Roman"/>
        </w:rPr>
        <w:instrText xml:space="preserve"> ADDIN ZOTERO_ITEM CSL_CITATION {"citationID":"a20vetn1p4d","properties":{"formattedCitation":"\\super 12\\nosupersub{}","plainCitation":"12","noteIndex":0},"citationItems":[{"id":3948,"uris":["http://zotero.org/users/2850877/items/34CJGH8S"],"itemData":{"id":3948,"type":"book","abstract":"This report is the outcome of a consensus-building project to agree on best practices for environmental and nutritional Life Cycle Assessment (nLCA) methodology, and identify future research needs. The project involved 30 nutritional and environmental LCA researchers from 18 countries. It focused on the assessment of food items (as opposed to meals or diets). \n\nBest practice recommendations were developed to address the intended purpose of an LCA study and related modeling approach, choice of an appropriate functional unit, assessment of nutritional value, and reporting nLCA results. An nLCA study should report the quantities of as many essential nutrients as possible and aim to provide information on the nutritional quality and/or health impacts in addition to nutrient quantities. Outstanding issues requiring further research attention include: defining a minimum number of nutrients to be considered in an nLCA study; treatment of nutrients to limit; use of nutrient indexes; further development of Impact Assessment methods; representation of nutritional changes that may occur during subsequent distribution and food preparation in cradle-to-gate nLCA studies; and communication of data uncertainty and variability. More data are required for different regions (particularly developing countries); for the processing, distribution, retail, and consumption life cycle stages; and for food loss and waste. Finally, there is a need to extend nLCA methodology for the assessment of meals and diets, to consider further how to account for the multi-functionality of food in a sustainability framework, and to set nLCA studies within the context of environmental limits.  \n\nThese results provide a robust basis for improving nLCA methodology and applying it to identify solutions that minimize the trade-offs between nourishing populations and safeguarding the environment. \n\nLast updated 10/01/2022,Corrigendum","event-place":"Rome, Italy","ISBN":"978-92-5-135532-9","language":"en","note":"DOI: 10.4060/cb8054en","number-of-pages":"161","publisher":"FAO","publisher-place":"Rome, Italy","source":"FAO Publications","title":"Integration of environment and nutrition in life cycle assessment of food items: opportunities and challenges","title-short":"Integration of environment and nutrition in life cycle assessment of food items","URL":"https://www.fao.org/documents/card/en/c/cb8054en/?utm_source=twitter&amp;utm_medium=social%2Bmedia&amp;utm_campaign=faoknowledge","author":[{"family":"McLaren","given":"S."}],"accessed":{"date-parts":[["2022",11,15]]},"issued":{"date-parts":[["2021"]]}}}],"schema":"https://github.com/citation-style-language/schema/raw/master/csl-citation.json"} </w:instrText>
      </w:r>
      <w:r w:rsidR="00F32EB2" w:rsidRPr="00F549CC">
        <w:rPr>
          <w:rFonts w:ascii="Times New Roman" w:hAnsi="Times New Roman" w:cs="Times New Roman"/>
        </w:rPr>
        <w:fldChar w:fldCharType="separate"/>
      </w:r>
      <w:r w:rsidR="007267F7" w:rsidRPr="007267F7">
        <w:rPr>
          <w:rFonts w:ascii="Times New Roman" w:hAnsi="Times New Roman" w:cs="Times New Roman"/>
          <w:color w:val="000000"/>
          <w:kern w:val="0"/>
          <w:vertAlign w:val="superscript"/>
        </w:rPr>
        <w:t>12</w:t>
      </w:r>
      <w:r w:rsidR="00F32EB2" w:rsidRPr="00F549CC">
        <w:rPr>
          <w:rFonts w:ascii="Times New Roman" w:hAnsi="Times New Roman" w:cs="Times New Roman"/>
        </w:rPr>
        <w:fldChar w:fldCharType="end"/>
      </w:r>
      <w:r>
        <w:rPr>
          <w:rFonts w:ascii="Times New Roman" w:eastAsia="Times New Roman" w:hAnsi="Times New Roman" w:cs="Times New Roman"/>
        </w:rPr>
        <w:t>, and results tend to be unit-dependent</w:t>
      </w:r>
      <w:r w:rsidR="00F32EB2" w:rsidRPr="00F549CC">
        <w:rPr>
          <w:rFonts w:ascii="Times New Roman" w:hAnsi="Times New Roman" w:cs="Times New Roman"/>
        </w:rPr>
        <w:fldChar w:fldCharType="begin"/>
      </w:r>
      <w:r w:rsidR="007267F7">
        <w:rPr>
          <w:rFonts w:ascii="Times New Roman" w:hAnsi="Times New Roman" w:cs="Times New Roman"/>
        </w:rPr>
        <w:instrText xml:space="preserve"> ADDIN ZOTERO_ITEM CSL_CITATION {"citationID":"a3t6t7vokn","properties":{"formattedCitation":"\\super 13\\nosupersub{}","plainCitation":"13","noteIndex":0},"citationItems":[{"id":4039,"uris":["http://zotero.org/groups/4546210/items/FAKD2345"],"itemData":{"id":4039,"type":"article-journal","abstract":"The nutritional quality of final products is attracting an increased level of attention within life cycle assessment (LCA) literature of agri-food systems. The majority of these studies, however, are based on comparisons at the dietary level and, therefore, are unable to offer immediate implications for farmers as to how best to produce food. This article evaluates recent literature examining the nutrition-environment nexus at the commodity level, with the aim to identify potential pathways towards sustainability analysis that can inform both consumers and producers.","container-title":"The International Journal of Life Cycle Assessment","DOI":"10.1007/s11367-019-01679-7","ISSN":"1614-7502","issue":"2","journalAbbreviation":"Int J Life Cycle Assess","language":"en","page":"208-221","source":"Springer Link","title":"Applications of nutritional functional units in commodity-level life cycle assessment (LCA) of agri-food systems","volume":"25","author":[{"family":"McAuliffe","given":"Graham A."},{"family":"Takahashi","given":"Taro"},{"family":"Lee","given":"Michael R. F."}],"issued":{"date-parts":[["2020",2,1]]}}}],"schema":"https://github.com/citation-style-language/schema/raw/master/csl-citation.json"} </w:instrText>
      </w:r>
      <w:r w:rsidR="00F32EB2" w:rsidRPr="00F549CC">
        <w:rPr>
          <w:rFonts w:ascii="Times New Roman" w:hAnsi="Times New Roman" w:cs="Times New Roman"/>
        </w:rPr>
        <w:fldChar w:fldCharType="separate"/>
      </w:r>
      <w:r w:rsidR="007267F7" w:rsidRPr="007267F7">
        <w:rPr>
          <w:rFonts w:ascii="Times New Roman" w:hAnsi="Times New Roman" w:cs="Times New Roman"/>
          <w:color w:val="000000"/>
          <w:kern w:val="0"/>
          <w:vertAlign w:val="superscript"/>
        </w:rPr>
        <w:t>13</w:t>
      </w:r>
      <w:r w:rsidR="00F32EB2" w:rsidRPr="00F549CC">
        <w:rPr>
          <w:rFonts w:ascii="Times New Roman" w:hAnsi="Times New Roman" w:cs="Times New Roman"/>
        </w:rPr>
        <w:fldChar w:fldCharType="end"/>
      </w:r>
      <w:r>
        <w:rPr>
          <w:rFonts w:ascii="Times New Roman" w:eastAsia="Times New Roman" w:hAnsi="Times New Roman" w:cs="Times New Roman"/>
        </w:rPr>
        <w:t>. For example, a landmark global environmental impact meta-analysis used functional units of mass, energy, and total protein content</w:t>
      </w:r>
      <w:r w:rsidR="00F126AB" w:rsidRPr="00F549CC">
        <w:rPr>
          <w:rFonts w:ascii="Times New Roman" w:hAnsi="Times New Roman" w:cs="Times New Roman"/>
        </w:rPr>
        <w:fldChar w:fldCharType="begin"/>
      </w:r>
      <w:r w:rsidR="007267F7">
        <w:rPr>
          <w:rFonts w:ascii="Times New Roman" w:hAnsi="Times New Roman" w:cs="Times New Roman"/>
        </w:rPr>
        <w:instrText xml:space="preserve"> ADDIN ZOTERO_ITEM CSL_CITATION {"citationID":"a214tm5nr8h","properties":{"formattedCitation":"\\super 14\\nosupersub{}","plainCitation":"14","noteIndex":0},"citationItems":[{"id":2970,"uris":["http://zotero.org/users/2850877/items/FU5WXL64"],"itemData":{"id":2970,"type":"article-journal","abstract":"&lt;p&gt;Food’s environmental impacts are created by millions of diverse producers. To identify solutions that are effective under this heterogeneity, we consolidated data covering five environmental indicators; 38,700 farms; and 1600 processors, packaging types, and retailers. Impact can vary 50-fold among producers of the same product, creating substantial mitigation opportunities. However, mitigation is complicated by trade-offs, multiple ways for producers to achieve low impacts, and interactions throughout the supply chain. Producers have limits on how far they can reduce impacts. Most strikingly, impacts of the lowest-impact animal products typically exceed those of vegetable substitutes, providing new evidence for the importance of dietary change. Cumulatively, our findings support an approach where producers monitor their own impacts, flexibly meet environmental targets by choosing from multiple practices, and communicate their impacts to consumers.&lt;/p&gt;","container-title":"Science","DOI":"10.1126/science.aaq0216","ISSN":"0036-8075, 1095-9203","issue":"6392","language":"en","license":"Copyright © 2018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Research Article\nPMID: 29853680","page":"987-992","source":"science.sciencemag.org","title":"Reducing food’s environmental impacts through producers and consumers","volume":"360","author":[{"family":"Poore","given":"J."},{"family":"Nemecek","given":"T."}],"issued":{"date-parts":[["2018",6,1]]}}}],"schema":"https://github.com/citation-style-language/schema/raw/master/csl-citation.json"} </w:instrText>
      </w:r>
      <w:r w:rsidR="00F126AB" w:rsidRPr="00F549CC">
        <w:rPr>
          <w:rFonts w:ascii="Times New Roman" w:hAnsi="Times New Roman" w:cs="Times New Roman"/>
        </w:rPr>
        <w:fldChar w:fldCharType="separate"/>
      </w:r>
      <w:r w:rsidR="007267F7" w:rsidRPr="007267F7">
        <w:rPr>
          <w:rFonts w:ascii="Times New Roman" w:hAnsi="Times New Roman" w:cs="Times New Roman"/>
          <w:color w:val="000000"/>
          <w:kern w:val="0"/>
          <w:vertAlign w:val="superscript"/>
        </w:rPr>
        <w:t>14</w:t>
      </w:r>
      <w:r w:rsidR="00F126AB" w:rsidRPr="00F549CC">
        <w:rPr>
          <w:rFonts w:ascii="Times New Roman" w:hAnsi="Times New Roman" w:cs="Times New Roman"/>
        </w:rPr>
        <w:fldChar w:fldCharType="end"/>
      </w:r>
      <w:r>
        <w:rPr>
          <w:rFonts w:ascii="Times New Roman" w:eastAsia="Times New Roman" w:hAnsi="Times New Roman" w:cs="Times New Roman"/>
        </w:rPr>
        <w:t>. A more recent study</w:t>
      </w:r>
      <w:r w:rsidR="00C8336B" w:rsidRPr="00F549CC">
        <w:rPr>
          <w:rFonts w:ascii="Times New Roman" w:hAnsi="Times New Roman" w:cs="Times New Roman"/>
        </w:rPr>
        <w:fldChar w:fldCharType="begin"/>
      </w:r>
      <w:r w:rsidR="007267F7">
        <w:rPr>
          <w:rFonts w:ascii="Times New Roman" w:hAnsi="Times New Roman" w:cs="Times New Roman"/>
        </w:rPr>
        <w:instrText xml:space="preserve"> ADDIN ZOTERO_ITEM CSL_CITATION {"citationID":"a1mda7lbh78","properties":{"formattedCitation":"\\super 15\\nosupersub{}","plainCitation":"15","noteIndex":0},"citationItems":[{"id":3908,"uris":["http://zotero.org/users/2850877/items/M9DTQIFY"],"itemData":{"id":3908,"type":"article-journal","container-title":"Proceedings of the National Academy of Sciences","DOI":"10.1073/pnas.2120584119","issue":"33","note":"publisher: Proceedings of the National Academy of Sciences","page":"e2120584119","source":"pnas.org (Atypon)","title":"Estimating the environmental impacts of 57,000 food products","volume":"119","author":[{"family":"Clark","given":"Michael"},{"family":"Springmann","given":"Marco"},{"family":"Rayner","given":"Mike"},{"family":"Scarborough","given":"Peter"},{"family":"Hill","given":"Jason"},{"family":"Tilman","given":"David"},{"family":"Macdiarmid","given":"Jennie I."},{"family":"Fanzo","given":"Jessica"},{"family":"Bandy","given":"Lauren"},{"family":"Harrington","given":"Richard A."}],"issued":{"date-parts":[["2022",8,16]]}}}],"schema":"https://github.com/citation-style-language/schema/raw/master/csl-citation.json"} </w:instrText>
      </w:r>
      <w:r w:rsidR="00C8336B" w:rsidRPr="00F549CC">
        <w:rPr>
          <w:rFonts w:ascii="Times New Roman" w:hAnsi="Times New Roman" w:cs="Times New Roman"/>
        </w:rPr>
        <w:fldChar w:fldCharType="separate"/>
      </w:r>
      <w:r w:rsidR="007267F7" w:rsidRPr="007267F7">
        <w:rPr>
          <w:rFonts w:ascii="Times New Roman" w:hAnsi="Times New Roman" w:cs="Times New Roman"/>
          <w:color w:val="000000"/>
          <w:kern w:val="0"/>
          <w:vertAlign w:val="superscript"/>
        </w:rPr>
        <w:t>15</w:t>
      </w:r>
      <w:r w:rsidR="00C8336B" w:rsidRPr="00F549CC">
        <w:rPr>
          <w:rFonts w:ascii="Times New Roman" w:hAnsi="Times New Roman" w:cs="Times New Roman"/>
        </w:rPr>
        <w:fldChar w:fldCharType="end"/>
      </w:r>
      <w:r>
        <w:rPr>
          <w:rFonts w:ascii="Times New Roman" w:eastAsia="Times New Roman" w:hAnsi="Times New Roman" w:cs="Times New Roman"/>
        </w:rPr>
        <w:t xml:space="preserve"> used this data along with updated environmental data on aquatic foods</w:t>
      </w:r>
      <w:r w:rsidR="00F82DE9" w:rsidRPr="00F549CC">
        <w:rPr>
          <w:rFonts w:ascii="Times New Roman" w:hAnsi="Times New Roman" w:cs="Times New Roman"/>
        </w:rPr>
        <w:fldChar w:fldCharType="begin"/>
      </w:r>
      <w:r w:rsidR="007267F7">
        <w:rPr>
          <w:rFonts w:ascii="Times New Roman" w:hAnsi="Times New Roman" w:cs="Times New Roman"/>
        </w:rPr>
        <w:instrText xml:space="preserve"> ADDIN ZOTERO_ITEM CSL_CITATION {"citationID":"a1ppmrcmv7s","properties":{"formattedCitation":"\\super 16\\nosupersub{}","plainCitation":"16","noteIndex":0},"citationItems":[{"id":3121,"uris":["http://zotero.org/users/2850877/items/W9KFCMJW"],"itemData":{"id":3121,"type":"article-journal","abstract":"Fish and other aquatic foods (blue foods) present an opportunity for more sustainable diets1,2. Yet comprehensive comparison has been limited due to sparse inclusion of blue foods in environmental impact studies3,4 relative to the vast diversity of production5. Here we provide standardized estimates of greenhouse gas, nitrogen, phosphorus, freshwater and land stressors for species groups covering nearly three quarters of global production. We find that across all blue foods, farmed bivalves and seaweeds generate the lowest stressors. Capture fisheries predominantly generate greenhouse gas emissions, with small pelagic fishes generating lower emissions than all fed aquaculture, but flatfish and crustaceans generating the highest. Among farmed finfish and crustaceans, silver and bighead carps have the lowest greenhouse gas, nitrogen and phosphorus emissions, but highest water use, while farmed salmon and trout use the least land and water. Finally, we model intervention scenarios and find improving feed conversion ratios reduces stressors across all fed groups, increasing fish yield reduces land and water use by up to half, and optimizing gears reduces capture fishery emissions by more than half for some groups. Collectively, our analysis identifies high-performing blue foods, highlights opportunities to improve environmental performance, advances data-poor environmental assessments, and informs sustainable diets.","container-title":"Nature","DOI":"10.1038/s41586-021-03889-2","ISSN":"1476-4687","issue":"7876","language":"en","license":"2021 The Author(s), under exclusive licence to Springer Nature Limited","note":"Bandiera_abtest: a\nCg_type: Nature Research Journals\nnumber: 7876\nPrimary_atype: Research\npublisher: Nature Publishing Group\nSubject_term: Environmental impact;Sustainability\nSubject_term_id: environmental-impact;sustainability","page":"360-365","source":"www.nature.com","title":"Environmental performance of blue foods","volume":"597","author":[{"family":"Gephart","given":"Jessica A."},{"family":"Henriksson","given":"Patrik J. G."},{"family":"Parker","given":"Robert W. R."},{"family":"Shepon","given":"Alon"},{"family":"Gorospe","given":"Kelvin D."},{"family":"Bergman","given":"Kristina"},{"family":"Eshel","given":"Gidon"},{"family":"Golden","given":"Christopher D."},{"family":"Halpern","given":"Benjamin S."},{"family":"Hornborg","given":"Sara"},{"family":"Jonell","given":"Malin"},{"family":"Metian","given":"Marc"},{"family":"Mifflin","given":"Kathleen"},{"family":"Newton","given":"Richard"},{"family":"Tyedmers","given":"Peter"},{"family":"Zhang","given":"Wenbo"},{"family":"Ziegler","given":"Friederike"},{"family":"Troell","given":"Max"}],"issued":{"date-parts":[["2021",9]]}}}],"schema":"https://github.com/citation-style-language/schema/raw/master/csl-citation.json"} </w:instrText>
      </w:r>
      <w:r w:rsidR="00F82DE9" w:rsidRPr="00F549CC">
        <w:rPr>
          <w:rFonts w:ascii="Times New Roman" w:hAnsi="Times New Roman" w:cs="Times New Roman"/>
        </w:rPr>
        <w:fldChar w:fldCharType="separate"/>
      </w:r>
      <w:r w:rsidR="007267F7" w:rsidRPr="007267F7">
        <w:rPr>
          <w:rFonts w:ascii="Times New Roman" w:hAnsi="Times New Roman" w:cs="Times New Roman"/>
          <w:color w:val="000000"/>
          <w:kern w:val="0"/>
          <w:vertAlign w:val="superscript"/>
        </w:rPr>
        <w:t>16</w:t>
      </w:r>
      <w:r w:rsidR="00F82DE9" w:rsidRPr="00F549CC">
        <w:rPr>
          <w:rFonts w:ascii="Times New Roman" w:hAnsi="Times New Roman" w:cs="Times New Roman"/>
        </w:rPr>
        <w:fldChar w:fldCharType="end"/>
      </w:r>
      <w:r>
        <w:rPr>
          <w:rFonts w:ascii="Times New Roman" w:eastAsia="Times New Roman" w:hAnsi="Times New Roman" w:cs="Times New Roman"/>
        </w:rPr>
        <w:t xml:space="preserve"> and nutritional quality as assessed by the nutrient profiling system, Nutri-Score. Other researchers have used nutritional functional units based on nutrient density, for example as assessed by variations of the Nutrient Rich Foods index</w:t>
      </w:r>
      <w:r w:rsidR="0043788B" w:rsidRPr="00F549CC">
        <w:rPr>
          <w:rFonts w:ascii="Times New Roman" w:hAnsi="Times New Roman" w:cs="Times New Roman"/>
        </w:rPr>
        <w:fldChar w:fldCharType="begin"/>
      </w:r>
      <w:r w:rsidR="007267F7">
        <w:rPr>
          <w:rFonts w:ascii="Times New Roman" w:hAnsi="Times New Roman" w:cs="Times New Roman"/>
        </w:rPr>
        <w:instrText xml:space="preserve"> ADDIN ZOTERO_ITEM CSL_CITATION {"citationID":"a1l96pb9p4q","properties":{"formattedCitation":"\\super 17\\nosupersub{}","plainCitation":"17","noteIndex":0},"citationItems":[{"id":4165,"uris":["http://zotero.org/users/2850877/items/K6HXA9SD"],"itemData":{"id":4165,"type":"article-journal","abstract":"Background: A carbon footprint is the sum of greenhouse gas emissions (GHGEs) associated with food production, processing, transporting, and retailing. Objective: We examined the relation between the energy and nutrient content of foods and associated GHGEs as expressed as g CO2 equivalents. Design: GHGE values, which were calculated and provided by a French supermarket chain, were merged with the Composition Nutritionnelle des Aliments (French food-composition table) nutrient-composition data for 483 foods and beverages from the French Agency for Food, Environmental and Occupational Health and Safety. Foods were aggregated into 34 food categories and 5 major food groups as follows: meat and meat products, milk and dairy products, frozen and processed fruit and vegetables, grains, and sweets. Energy density was expressed as kcal/100 g. Nutrient density was determined by using 2 alternative nutrient-density scores, each based on the sum of the percentage of daily values for 6 or 15 nutrients, respectively. The energy and nutrient densities of foods were linked to log-transformed GHGE values expressed per 100 g or 100 kcal. Results: Grains and sweets had lowest GHGEs (per 100 g and 100 kcal) but had high energy density and a low nutrient content. The more–nutrient-dense animal products, including meat and dairy, had higher GHGE values per 100 g but much lower values per 100 kcal. In general, a higher nutrient density of foods was associated with higher GHGEs per 100 kcal, although the slopes of fitted lines varied for meat and dairy compared with fats and sweets. Conclusions: Considerations of the environmental impact of foods need to be linked to concerns about nutrient density and health. The point at which the higher carbon footprint of some nutrient-dense foods is offset by their higher nutritional value is a priority area for additional research.","container-title":"The American Journal of Clinical Nutrition","DOI":"10.3945/ajcn.114.092486","ISSN":"0002-9165","issue":"1","journalAbbreviation":"The American Journal of Clinical Nutrition","page":"184-191","source":"ScienceDirect","title":"Energy and nutrient density of foods in relation to their carbon footprint234","volume":"101","author":[{"family":"Drewnowski","given":"Adam"},{"family":"Rehm","given":"Colin D"},{"family":"Martin","given":"Agnes"},{"family":"Verger","given":"Eric O"},{"family":"Voinnesson","given":"Marc"},{"family":"Imbert","given":"Philippe"}],"issued":{"date-parts":[["2015",1,1]]}}}],"schema":"https://github.com/citation-style-language/schema/raw/master/csl-citation.json"} </w:instrText>
      </w:r>
      <w:r w:rsidR="0043788B" w:rsidRPr="00F549CC">
        <w:rPr>
          <w:rFonts w:ascii="Times New Roman" w:hAnsi="Times New Roman" w:cs="Times New Roman"/>
        </w:rPr>
        <w:fldChar w:fldCharType="separate"/>
      </w:r>
      <w:r w:rsidR="007267F7" w:rsidRPr="007267F7">
        <w:rPr>
          <w:rFonts w:ascii="Times New Roman" w:hAnsi="Times New Roman" w:cs="Times New Roman"/>
          <w:color w:val="000000"/>
          <w:kern w:val="0"/>
          <w:vertAlign w:val="superscript"/>
        </w:rPr>
        <w:t>17</w:t>
      </w:r>
      <w:r w:rsidR="0043788B" w:rsidRPr="00F549CC">
        <w:rPr>
          <w:rFonts w:ascii="Times New Roman" w:hAnsi="Times New Roman" w:cs="Times New Roman"/>
        </w:rPr>
        <w:fldChar w:fldCharType="end"/>
      </w:r>
      <w:r>
        <w:rPr>
          <w:rFonts w:ascii="Times New Roman" w:eastAsia="Times New Roman" w:hAnsi="Times New Roman" w:cs="Times New Roman"/>
        </w:rPr>
        <w:t xml:space="preserve"> or by priority micronutrient value</w:t>
      </w:r>
      <w:r w:rsidR="0043788B">
        <w:rPr>
          <w:rFonts w:ascii="Times New Roman" w:hAnsi="Times New Roman" w:cs="Times New Roman"/>
        </w:rPr>
        <w:fldChar w:fldCharType="begin"/>
      </w:r>
      <w:r w:rsidR="007267F7">
        <w:rPr>
          <w:rFonts w:ascii="Times New Roman" w:hAnsi="Times New Roman" w:cs="Times New Roman"/>
        </w:rPr>
        <w:instrText xml:space="preserve"> ADDIN ZOTERO_ITEM CSL_CITATION {"citationID":"ac72heeddp","properties":{"formattedCitation":"\\super 18\\nosupersub{}","plainCitation":"18","noteIndex":0},"citationItems":[{"id":4163,"uris":["http://zotero.org/users/2850877/items/ZUXWCH7I"],"itemData":{"id":4163,"type":"article-journal","abstract":"A growing literature in Life Cycle Assessment seeks to better inform consumers, food policymakers, food supply chain actors, and other relevant stakeholders about how individual foods contribute to sustainable diets. One major challenge involves accurately capturing potential trade-offs between nutritional provision and environmental impacts associated with food production. In response, food system sustainability literature has turned increasingly to nutritional Life Cycle Assessment, which assesses the environmental footprints of different foods while accounting for nutritional value. Here we provide examples that show how environmental footprints based on a priority micronutrient-focused functional unit can provide nutritionally meaningful insights about the complexities involved in sustainable food systems. We reinforce the idea that there are limitations in using single-value nutrition-environment scores to inform food guidance, as they do not adequately capture the complex multi-dimensionality and variation involved in healthy and sustainable food systems. In our discussion we highlight the need for future agri-food sustainability assessments to pay attention to regional nutritional and environmental variation within and between commodities, and to better interpret trade-offs involved in food substitutions.","container-title":"Communications Earth &amp; Environment","DOI":"10.1038/s43247-023-00945-9","ISSN":"2662-4435","issue":"1","journalAbbreviation":"Commun Earth Environ","language":"en","license":"2023 Springer Nature Limited","note":"number: 1\npublisher: Nature Publishing Group","page":"1-9","source":"www.nature.com","title":"Levelling foods for priority micronutrient value can provide more meaningful environmental footprint comparisons","volume":"4","author":[{"family":"Katz-Rosene","given":"Ryan"},{"family":"Ortenzi","given":"Flaminia"},{"family":"McAuliffe","given":"Graham A."},{"family":"Beal","given":"Ty"}],"issued":{"date-parts":[["2023",8,12]]}}}],"schema":"https://github.com/citation-style-language/schema/raw/master/csl-citation.json"} </w:instrText>
      </w:r>
      <w:r w:rsidR="0043788B">
        <w:rPr>
          <w:rFonts w:ascii="Times New Roman" w:hAnsi="Times New Roman" w:cs="Times New Roman"/>
        </w:rPr>
        <w:fldChar w:fldCharType="separate"/>
      </w:r>
      <w:r w:rsidR="007267F7" w:rsidRPr="007267F7">
        <w:rPr>
          <w:rFonts w:ascii="Times New Roman" w:hAnsi="Times New Roman" w:cs="Times New Roman"/>
          <w:color w:val="000000"/>
          <w:kern w:val="0"/>
          <w:vertAlign w:val="superscript"/>
        </w:rPr>
        <w:t>18</w:t>
      </w:r>
      <w:r w:rsidR="0043788B">
        <w:rPr>
          <w:rFonts w:ascii="Times New Roman" w:hAnsi="Times New Roman" w:cs="Times New Roman"/>
        </w:rPr>
        <w:fldChar w:fldCharType="end"/>
      </w:r>
      <w:r>
        <w:rPr>
          <w:rFonts w:ascii="Times New Roman" w:eastAsia="Times New Roman" w:hAnsi="Times New Roman" w:cs="Times New Roman"/>
        </w:rPr>
        <w:t xml:space="preserve">. The NVS, complemented by local food, nutrition, and environmental impact data, where available, can be used to compare the environmental impact of foods across or within food groups. Assessing environmental impacts per fixed NVS </w:t>
      </w:r>
      <w:r w:rsidR="004C644A">
        <w:rPr>
          <w:rFonts w:ascii="Times New Roman" w:eastAsia="Times New Roman" w:hAnsi="Times New Roman" w:cs="Times New Roman"/>
        </w:rPr>
        <w:t xml:space="preserve">using local foods and food composition data </w:t>
      </w:r>
      <w:r>
        <w:rPr>
          <w:rFonts w:ascii="Times New Roman" w:eastAsia="Times New Roman" w:hAnsi="Times New Roman" w:cs="Times New Roman"/>
        </w:rPr>
        <w:t xml:space="preserve">places foods on nutritionally equivalent footing, improving upon prior metrics by incorporating </w:t>
      </w:r>
      <w:r w:rsidR="003D3B7D">
        <w:rPr>
          <w:rFonts w:ascii="Times New Roman" w:eastAsia="Times New Roman" w:hAnsi="Times New Roman" w:cs="Times New Roman"/>
        </w:rPr>
        <w:t xml:space="preserve">contextually appropriate foods as well as </w:t>
      </w:r>
      <w:r>
        <w:rPr>
          <w:rFonts w:ascii="Times New Roman" w:eastAsia="Times New Roman" w:hAnsi="Times New Roman" w:cs="Times New Roman"/>
        </w:rPr>
        <w:t>aspects of priority nutrient density and protection against noncommunicable diseases. Food-based dietary guidelines could include the resulting insights to encourage consumption of context-appropriate sustainable healthy diets.</w:t>
      </w:r>
    </w:p>
    <w:p w14:paraId="1E6E2C10" w14:textId="77777777" w:rsidR="00C05F6D" w:rsidRDefault="00C05F6D">
      <w:pPr>
        <w:spacing w:line="480" w:lineRule="auto"/>
        <w:rPr>
          <w:rFonts w:ascii="Times New Roman" w:eastAsia="Times New Roman" w:hAnsi="Times New Roman" w:cs="Times New Roman"/>
        </w:rPr>
      </w:pPr>
    </w:p>
    <w:p w14:paraId="039D3270" w14:textId="62EA5BB6"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t>The NVS is also designed for use in food affordability assessments. Affordability of single foods has been assessed per unit energy</w:t>
      </w:r>
      <w:r w:rsidR="00E6437A" w:rsidRPr="00F549CC">
        <w:rPr>
          <w:rFonts w:ascii="Times New Roman" w:hAnsi="Times New Roman" w:cs="Times New Roman"/>
        </w:rPr>
        <w:fldChar w:fldCharType="begin"/>
      </w:r>
      <w:r w:rsidR="007267F7">
        <w:rPr>
          <w:rFonts w:ascii="Times New Roman" w:hAnsi="Times New Roman" w:cs="Times New Roman"/>
        </w:rPr>
        <w:instrText xml:space="preserve"> ADDIN ZOTERO_ITEM CSL_CITATION {"citationID":"C11FJpsm","properties":{"formattedCitation":"\\super 19\\nosupersub{}","plainCitation":"19","noteIndex":0},"citationItems":[{"id":2543,"uris":["http://zotero.org/users/2850877/items/TGJ28DKY"],"itemData":{"id":2543,"type":"article-journal","abstract":"ABSTRACTBackground.  Relative prices of healthy/unhealthy foods have been implicated in the obesity epidemic, but never extensively quantified across countries","container-title":"The Journal of Nutrition","DOI":"10.1093/jn/nxz158","ISSN":"0022-3166","issue":"11","journalAbbreviation":"J Nutr","language":"en","page":"2020-2033","source":"academic.oup.com","title":"The Relative Caloric Prices of Healthy and Unhealthy Foods Differ Systematically across Income Levels and Continents","volume":"149","author":[{"family":"Headey","given":"Derek D."},{"family":"Alderman","given":"Harold H."}],"issued":{"date-parts":[["2019",11,1]]}}}],"schema":"https://github.com/citation-style-language/schema/raw/master/csl-citation.json"} </w:instrText>
      </w:r>
      <w:r w:rsidR="00E6437A" w:rsidRPr="00F549CC">
        <w:rPr>
          <w:rFonts w:ascii="Times New Roman" w:hAnsi="Times New Roman" w:cs="Times New Roman"/>
        </w:rPr>
        <w:fldChar w:fldCharType="separate"/>
      </w:r>
      <w:r w:rsidR="007267F7" w:rsidRPr="007267F7">
        <w:rPr>
          <w:rFonts w:ascii="Times New Roman" w:hAnsi="Times New Roman" w:cs="Times New Roman"/>
          <w:kern w:val="0"/>
          <w:vertAlign w:val="superscript"/>
        </w:rPr>
        <w:t>19</w:t>
      </w:r>
      <w:r w:rsidR="00E6437A" w:rsidRPr="00F549CC">
        <w:rPr>
          <w:rFonts w:ascii="Times New Roman" w:hAnsi="Times New Roman" w:cs="Times New Roman"/>
        </w:rPr>
        <w:fldChar w:fldCharType="end"/>
      </w:r>
      <w:r>
        <w:rPr>
          <w:rFonts w:ascii="Times New Roman" w:eastAsia="Times New Roman" w:hAnsi="Times New Roman" w:cs="Times New Roman"/>
        </w:rPr>
        <w:t>, priority micronutrient value</w:t>
      </w:r>
      <w:r w:rsidR="00E6437A" w:rsidRPr="00F549CC">
        <w:rPr>
          <w:rFonts w:ascii="Times New Roman" w:hAnsi="Times New Roman" w:cs="Times New Roman"/>
        </w:rPr>
        <w:fldChar w:fldCharType="begin"/>
      </w:r>
      <w:r w:rsidR="007267F7">
        <w:rPr>
          <w:rFonts w:ascii="Times New Roman" w:hAnsi="Times New Roman" w:cs="Times New Roman"/>
        </w:rPr>
        <w:instrText xml:space="preserve"> ADDIN ZOTERO_ITEM CSL_CITATION {"citationID":"S91Hyerg","properties":{"formattedCitation":"\\super 20\\nosupersub{}","plainCitation":"20","noteIndex":0},"citationItems":[{"id":2776,"uris":["http://zotero.org/users/2850877/items/QDPAGHQY"],"itemData":{"id":2776,"type":"article-journal","container-title":"Nutrition Reviews","issue":"4","title":"Affordability of nutritious foods for complementary feeding in Eastern and Southern Africa","volume":"79","author":[{"family":"Ryckman","given":"Theresa"},{"family":"Beal","given":"Ty"},{"family":"Nordhagen","given":"Stella"},{"family":"Chimanya","given":"Kudakwashe"},{"family":"Matji","given":"Joan"}],"issued":{"date-parts":[["2021"]]}}}],"schema":"https://github.com/citation-style-language/schema/raw/master/csl-citation.json"} </w:instrText>
      </w:r>
      <w:r w:rsidR="00E6437A" w:rsidRPr="00F549CC">
        <w:rPr>
          <w:rFonts w:ascii="Times New Roman" w:hAnsi="Times New Roman" w:cs="Times New Roman"/>
        </w:rPr>
        <w:fldChar w:fldCharType="separate"/>
      </w:r>
      <w:r w:rsidR="007267F7" w:rsidRPr="007267F7">
        <w:rPr>
          <w:rFonts w:ascii="Times New Roman" w:hAnsi="Times New Roman" w:cs="Times New Roman"/>
          <w:kern w:val="0"/>
          <w:vertAlign w:val="superscript"/>
        </w:rPr>
        <w:t>20</w:t>
      </w:r>
      <w:r w:rsidR="00E6437A" w:rsidRPr="00F549CC">
        <w:rPr>
          <w:rFonts w:ascii="Times New Roman" w:hAnsi="Times New Roman" w:cs="Times New Roman"/>
        </w:rPr>
        <w:fldChar w:fldCharType="end"/>
      </w:r>
      <w:r>
        <w:rPr>
          <w:rFonts w:ascii="Times New Roman" w:eastAsia="Times New Roman" w:hAnsi="Times New Roman" w:cs="Times New Roman"/>
        </w:rPr>
        <w:t>, and by the Nutrient Rich Foods index</w:t>
      </w:r>
      <w:r w:rsidR="00E6437A" w:rsidRPr="00F549CC">
        <w:rPr>
          <w:rFonts w:ascii="Times New Roman" w:hAnsi="Times New Roman" w:cs="Times New Roman"/>
        </w:rPr>
        <w:fldChar w:fldCharType="begin"/>
      </w:r>
      <w:r w:rsidR="007267F7">
        <w:rPr>
          <w:rFonts w:ascii="Times New Roman" w:hAnsi="Times New Roman" w:cs="Times New Roman"/>
        </w:rPr>
        <w:instrText xml:space="preserve"> ADDIN ZOTERO_ITEM CSL_CITATION {"citationID":"PU6PwvfK","properties":{"formattedCitation":"\\super 11\\nosupersub{}","plainCitation":"11","noteIndex":0},"citationItems":[{"id":4158,"uris":["http://zotero.org/users/2850877/items/T6BRZA53"],"itemData":{"id":4158,"type":"article-journal","abstract":"Background: The Nutrient Rich Foods (NRF) Index is a formal scoring system that ranks foods on the basis of their nutrient content. When used in conjunction with a food prices database, it can help identify foods that are both nutritious and affordable. Objective: Our aim was to identify healthy, affordable foods and food groups by using the NRF index and US Department of Agriculture (USDA) nutrient composition and food prices data sets. Design: Foods in the USDA Food and Nutrition Database for Dietary Studies 1.0 were scored by using the NRF index. This NRF algorithm was represented by the sum of the percentage of the daily values of 9 nutrients to encourage (protein, fiber, vitamin A, vitamin C, vitamin E, calcium, iron, magnesium, and potassium) minus the sum of the percentage of the maximum recommended values for 3 nutrients to limit (saturated fat, added sugar, and sodium). NRF scores and mean national food prices were calculated per calorie and per US Food and Drug Administration−defined serving. Results: Each of the 9 USDA food groups offered foods of diverse nutritive value and cost. Eggs, dry beans and legumes, and meat and milk products were the lowest-cost sources of protein. Milk and milk products were the lowest-cost sources of calcium, whereas vegetables and fruit were the lowest-cost sources of vitamin C. Milk, potatoes, citrus juices, cereals, and beans had more favorable overall nutrient-to-price ratios than did many vegetables and fruit. Energy-dense grains, sweets, and fats provided most of the calories but fewer nutrients per dollar. Conclusion: One important application of nutrient profile models is to help consumers identify foods that provide optimal nutrition at an affordable cost.","container-title":"The American Journal of Clinical Nutrition","DOI":"10.3945/ajcn.2010.28450D","ISSN":"0002-9165","issue":"4","journalAbbreviation":"The American Journal of Clinical Nutrition","page":"1095S-1101S","source":"ScienceDirect","title":"The Nutrient Rich Foods Index helps to identify healthy, affordable foods1234","volume":"91","author":[{"family":"Drewnowski","given":"Adam"}],"issued":{"date-parts":[["2010",4,1]]}}}],"schema":"https://github.com/citation-style-language/schema/raw/master/csl-citation.json"} </w:instrText>
      </w:r>
      <w:r w:rsidR="00E6437A" w:rsidRPr="00F549CC">
        <w:rPr>
          <w:rFonts w:ascii="Times New Roman" w:hAnsi="Times New Roman" w:cs="Times New Roman"/>
        </w:rPr>
        <w:fldChar w:fldCharType="separate"/>
      </w:r>
      <w:r w:rsidR="007267F7" w:rsidRPr="007267F7">
        <w:rPr>
          <w:rFonts w:ascii="Times New Roman" w:hAnsi="Times New Roman" w:cs="Times New Roman"/>
          <w:kern w:val="0"/>
          <w:vertAlign w:val="superscript"/>
        </w:rPr>
        <w:t>11</w:t>
      </w:r>
      <w:r w:rsidR="00E6437A" w:rsidRPr="00F549CC">
        <w:rPr>
          <w:rFonts w:ascii="Times New Roman" w:hAnsi="Times New Roman" w:cs="Times New Roman"/>
        </w:rPr>
        <w:fldChar w:fldCharType="end"/>
      </w:r>
      <w:r>
        <w:rPr>
          <w:rFonts w:ascii="Times New Roman" w:eastAsia="Times New Roman" w:hAnsi="Times New Roman" w:cs="Times New Roman"/>
        </w:rPr>
        <w:t xml:space="preserve">. As with life cycle assessments, the NVS provides a more </w:t>
      </w:r>
      <w:r w:rsidR="00F862CE">
        <w:rPr>
          <w:rFonts w:ascii="Times New Roman" w:eastAsia="Times New Roman" w:hAnsi="Times New Roman" w:cs="Times New Roman"/>
        </w:rPr>
        <w:t xml:space="preserve">holistic </w:t>
      </w:r>
      <w:r>
        <w:rPr>
          <w:rFonts w:ascii="Times New Roman" w:eastAsia="Times New Roman" w:hAnsi="Times New Roman" w:cs="Times New Roman"/>
        </w:rPr>
        <w:t>way to standardize foods by nutritional value for food affordability assessments. Application of the NVS in food affordability assessments would provide insights to aid social protection programs in identifying the most affordable food sources of nutrition. Demand creation programs could focus on increasing consumer demand for the most affordable nutritious foods; at the same time, policies could help reduce the price of unaffordable nutritious foods, for example, by providing agricultural incentives, limiting the role of intermediaries in supply chains, improving infrastructure, and taking measures to counterbalance inflation</w:t>
      </w:r>
      <w:r w:rsidR="006E6C7E" w:rsidRPr="00F549CC">
        <w:rPr>
          <w:rFonts w:ascii="Times New Roman" w:hAnsi="Times New Roman" w:cs="Times New Roman"/>
        </w:rPr>
        <w:fldChar w:fldCharType="begin"/>
      </w:r>
      <w:r w:rsidR="007267F7">
        <w:rPr>
          <w:rFonts w:ascii="Times New Roman" w:hAnsi="Times New Roman" w:cs="Times New Roman"/>
        </w:rPr>
        <w:instrText xml:space="preserve"> ADDIN ZOTERO_ITEM CSL_CITATION {"citationID":"a19veql6pdp","properties":{"formattedCitation":"\\super 21\\nosupersub{}","plainCitation":"21","noteIndex":0},"citationItems":[{"id":2981,"uris":["http://zotero.org/users/2850877/items/SBLMR5PK"],"itemData":{"id":2981,"type":"book","abstract":"Updates for many countries have made it possible to estimate hunger in the world with greater accuracy this year. In particular, newly accessible data enabled the revision of the entire series of undernourishment estimates for China back to 2000, resulting in a substantial downward shift of the series of the number of undernourished in the world. Nevertheless, the revision confirms the trend reported in past editions: the number of people affected by hunger globally has been slowly on the rise since 2014. The report also shows that the burden of malnutrition in all its forms continues to be a challenge. There has been some progress for child stunting, low birthweight and exclusive breastfeeding, but at a pace that is still too slow. Childhood overweight is not improving and adult obesity is on the rise in all regions.The report complements the usual assessment of food security and nutrition with projections of what the world may look like in 2030, if trends of the last decade continue. Projections show that the world is not on track to achieve Zero Hunger by 2030 and, despite some progress, most indicators are also not on track to meet global nutrition targets. The food security and nutritional status of the most vulnerable population groups is likely to deteriorate further due to the health and socio economic impacts of the COVID-19 pandemic.The report puts a spotlight on diet quality as a critical link between food security and nutrition. Meeting SDG 2 targets will only be possible if people have enough food to eat and if what they are eating is nutritious and affordable. The report also introduces new analysis of the cost and affordability of healthy diets around the world, by region and in different development contexts. It presents valuations of the health and climate-change costs associated with current food consumption patterns, as well as the potential cost savings if food consumption patterns were to shift towards healthy diets that include sustainability considerations. The report then concludes with a discussion of the policies and strategies to transform food systems to ensure affordable healthy diets, as part of the required efforts to end both hunger and all forms of malnutrition.","ISBN":"978-92-5-132901-6","language":"en","note":"Google-Books-ID: 09zyDwAAQBAJ","number-of-pages":"320","publisher":"Food &amp; Agriculture Org.","source":"Google Books","title":"The State of Food Security and Nutrition in the World 2020: Transforming food systems for affordable healthy diets","title-short":"The State of Food Security and Nutrition in the World 2020","author":[{"literal":"Food and Agriculture Organization of the United Nations"},{"literal":"International Fund for Agricultural Development"},{"literal":"World Food Programme"},{"literal":"World Health Organization"},{"literal":"The United Nations Children's Fund"}],"issued":{"date-parts":[["2020",7,1]]}}}],"schema":"https://github.com/citation-style-language/schema/raw/master/csl-citation.json"} </w:instrText>
      </w:r>
      <w:r w:rsidR="006E6C7E" w:rsidRPr="00F549CC">
        <w:rPr>
          <w:rFonts w:ascii="Times New Roman" w:hAnsi="Times New Roman" w:cs="Times New Roman"/>
        </w:rPr>
        <w:fldChar w:fldCharType="separate"/>
      </w:r>
      <w:r w:rsidR="007267F7" w:rsidRPr="007267F7">
        <w:rPr>
          <w:rFonts w:ascii="Times New Roman" w:hAnsi="Times New Roman" w:cs="Times New Roman"/>
          <w:kern w:val="0"/>
          <w:vertAlign w:val="superscript"/>
        </w:rPr>
        <w:t>21</w:t>
      </w:r>
      <w:r w:rsidR="006E6C7E" w:rsidRPr="00F549CC">
        <w:rPr>
          <w:rFonts w:ascii="Times New Roman" w:hAnsi="Times New Roman" w:cs="Times New Roman"/>
        </w:rPr>
        <w:fldChar w:fldCharType="end"/>
      </w:r>
      <w:r>
        <w:rPr>
          <w:rFonts w:ascii="Times New Roman" w:eastAsia="Times New Roman" w:hAnsi="Times New Roman" w:cs="Times New Roman"/>
        </w:rPr>
        <w:t>.</w:t>
      </w:r>
    </w:p>
    <w:p w14:paraId="40A4B73F" w14:textId="77777777" w:rsidR="00C05F6D" w:rsidRDefault="00C05F6D">
      <w:pPr>
        <w:spacing w:line="480" w:lineRule="auto"/>
        <w:rPr>
          <w:rFonts w:ascii="Times New Roman" w:eastAsia="Times New Roman" w:hAnsi="Times New Roman" w:cs="Times New Roman"/>
        </w:rPr>
      </w:pPr>
    </w:p>
    <w:p w14:paraId="0A16CD72" w14:textId="2F9D0FA1"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t>To determine initial validity and robustness of the NVS, we assessed content validity</w:t>
      </w:r>
      <w:r w:rsidR="0012170F">
        <w:rPr>
          <w:rFonts w:ascii="Times New Roman" w:eastAsia="Times New Roman" w:hAnsi="Times New Roman" w:cs="Times New Roman"/>
        </w:rPr>
        <w:t>,</w:t>
      </w:r>
      <w:r>
        <w:rPr>
          <w:rFonts w:ascii="Times New Roman" w:eastAsia="Times New Roman" w:hAnsi="Times New Roman" w:cs="Times New Roman"/>
        </w:rPr>
        <w:t xml:space="preserve"> face validity</w:t>
      </w:r>
      <w:r w:rsidR="0012170F">
        <w:rPr>
          <w:rFonts w:ascii="Times New Roman" w:eastAsia="Times New Roman" w:hAnsi="Times New Roman" w:cs="Times New Roman"/>
        </w:rPr>
        <w:t xml:space="preserve">, </w:t>
      </w:r>
      <w:r w:rsidR="00633016">
        <w:rPr>
          <w:rFonts w:ascii="Times New Roman" w:eastAsia="Times New Roman" w:hAnsi="Times New Roman" w:cs="Times New Roman"/>
        </w:rPr>
        <w:t xml:space="preserve">and </w:t>
      </w:r>
      <w:r w:rsidR="0012170F">
        <w:rPr>
          <w:rFonts w:ascii="Times New Roman" w:eastAsia="Times New Roman" w:hAnsi="Times New Roman" w:cs="Times New Roman"/>
        </w:rPr>
        <w:t>convergent validity,</w:t>
      </w:r>
      <w:r>
        <w:rPr>
          <w:rFonts w:ascii="Times New Roman" w:eastAsia="Times New Roman" w:hAnsi="Times New Roman" w:cs="Times New Roman"/>
        </w:rPr>
        <w:t xml:space="preserve"> and conducted various sensitivity analyses. We </w:t>
      </w:r>
      <w:r w:rsidR="00716FCE">
        <w:rPr>
          <w:rFonts w:ascii="Times New Roman" w:eastAsia="Times New Roman" w:hAnsi="Times New Roman" w:cs="Times New Roman"/>
        </w:rPr>
        <w:t xml:space="preserve">tested </w:t>
      </w:r>
      <w:r>
        <w:rPr>
          <w:rFonts w:ascii="Times New Roman" w:eastAsia="Times New Roman" w:hAnsi="Times New Roman" w:cs="Times New Roman"/>
        </w:rPr>
        <w:t>content validity of the NVS algorithm through inclusion of dietary attributes of global health priority, comprising essential nutrients of public health concern</w:t>
      </w:r>
      <w:r w:rsidR="005E6BF0" w:rsidRPr="00F549CC">
        <w:rPr>
          <w:rFonts w:ascii="Times New Roman" w:hAnsi="Times New Roman" w:cs="Times New Roman"/>
        </w:rPr>
        <w:fldChar w:fldCharType="begin"/>
      </w:r>
      <w:r w:rsidR="007267F7">
        <w:rPr>
          <w:rFonts w:ascii="Times New Roman" w:hAnsi="Times New Roman" w:cs="Times New Roman"/>
        </w:rPr>
        <w:instrText xml:space="preserve"> ADDIN ZOTERO_ITEM CSL_CITATION {"citationID":"sssKL2TA","properties":{"formattedCitation":"\\super 22\\uc0\\u8211{}26\\nosupersub{}","plainCitation":"22–26","noteIndex":0},"citationItems":[{"id":4121,"uris":["http://zotero.org/users/2850877/items/AFKKCX2V"],"itemData":{"id":4121,"type":"article-journal","abstract":"Objectives To quantify global consumption of key dietary fats and oils by country, age, and sex in 1990 and 2010.\nDesign Data were identified, obtained, and assessed among adults in 16 age- and sex-specific groups from dietary surveys worldwide on saturated, omega 6, seafood omega 3, plant omega 3, and trans fats, and dietary cholesterol. We included 266 surveys in adults (83% nationally representative) comprising 1 630 069 unique individuals, representing 113 of 187 countries and 82% of the global population. A multilevel hierarchical Bayesian model accounted for differences in national and regional levels of missing data, measurement incomparability, study representativeness, and sampling and modelling uncertainty.\nSetting and population Global adult population, by age, sex, country, and time.\nResults In 2010, global saturated fat consumption was 9.4%E (95%UI=9.2 to 9.5); country-specific intakes varied dramatically from 2.3 to 27.5%E; in 75 of 187 countries representing 61.8% of the world’s adult population, the mean intake was &lt;10%E. Country-specific omega 6 consumption ranged from 1.2 to 12.5%E (global mean=5.9%E); corresponding range was 0.2 to 6.5%E (1.4%E) for trans fat; 97 to 440 mg/day (228 mg/day) for dietary cholesterol; 5 to 3,886 mg/day (163 mg/day) for seafood omega 3; and &lt;100 to 5,542 mg/day (1,371 mg/day) for plant omega 3. Countries representing 52.4% of the global population had national mean intakes for omega 6 fat ≥5%E; corresponding proportions meeting optimal intakes were 0.6% for trans fat (≤0.5%E); 87.6% for dietary cholesterol (&lt;300 mg/day); 18.9% for seafood omega 3 fat (≥250 mg/day); and 43.9% for plant omega 3 fat (≥1,100 mg/day). Trans fat intakes were generally higher at younger ages; and dietary cholesterol and seafood omega 3 fats generally higher at older ages. Intakes were similar by sex. Between 1990 and 2010, global saturated fat, dietary cholesterol, and trans fat intakes remained stable, while omega 6, seafood omega 3, and plant omega 3 fat intakes each increased.\nConclusions These novel global data on dietary fats and oils identify dramatic diversity across nations and inform policies and priorities for improving global health.","container-title":"BMJ","DOI":"10.1136/bmj.g2272","ISSN":"1756-1833","journalAbbreviation":"BMJ","language":"en","license":"© Micha et al 2014.            This is an Open Access article distributed in accordance with the Creative Commons Attribution Non Commercial (CC BY-NC 3.0) license, which permits others to distribute, remix, adapt, build upon this work non-commercially, and license their derivative works on different terms, provided the original work is properly cited and the use is non-commercial. See: http://creativecommons.org/licenses/by-nc/3.0/.","note":"publisher: British Medical Journal Publishing Group\nsection: Research\nPMID: 24736206","page":"g2272","source":"www.bmj.com","title":"Global, regional, and national consumption levels of dietary fats and oils in 1990 and 2010: a systematic analysis including 266 country-specific nutrition surveys","title-short":"Global, regional, and national consumption levels of dietary fats and oils in 1990 and 2010","volume":"348","author":[{"family":"Micha","given":"Renata"},{"family":"Khatibzadeh","given":"Shahab"},{"family":"Shi","given":"Peilin"},{"family":"Fahimi","given":"Saman"},{"family":"Lim","given":"Stephen"},{"family":"Andrews","given":"Kathryn G."},{"family":"Engell","given":"Rebecca E."},{"family":"Powles","given":"John"},{"family":"Ezzati","given":"Majid"},{"family":"Mozaffarian","given":"Dariush"}],"issued":{"date-parts":[["2014",4,15]]}}},{"id":3927,"uris":["http://zotero.org/users/2850877/items/SMPKFMEL"],"itemData":{"id":3927,"type":"article-journal","container-title":"The Lancet Global Health","DOI":"10.1016/S2214-109X(22)00367-9","ISSN":"2214-109X","issue":"11","journalAbbreviation":"The Lancet Global Health","language":"English","note":"publisher: Elsevier\nPMID: 36240826","page":"e1590-e1599","source":"www.thelancet.com","title":"Micronutrient deficiencies among preschool-aged children and women of reproductive age worldwide: a pooled analysis of individual-level data from population-representative surveys","title-short":"Micronutrient deficiencies among preschool-aged children and women of reproductive age worldwide","volume":"10","author":[{"family":"Stevens","given":"Gretchen A."},{"family":"Beal","given":"Ty"},{"family":"Mbuya","given":"Mduduzi N. N."},{"family":"Luo","given":"Hanqi"},{"family":"Neufeld","given":"Lynnette M."},{"family":"Addo","given":"O. Yaw"},{"family":"Adu-Afarwuah","given":"Seth"},{"family":"Alayón","given":"Silvia"},{"family":"Bhutta","given":"Zulfiqar"},{"family":"Brown","given":"Kenneth H."},{"family":"Jefferds","given":"Maria Elena"},{"family":"Engle-Stone","given":"Reina"},{"family":"Fawzi","given":"Wafaie"},{"family":"Hess","given":"Sonja Y."},{"family":"Johnston","given":"Robert"},{"family":"Katz","given":"Joanne"},{"family":"Krasevec","given":"Julia"},{"family":"McDonald","given":"Christine M."},{"family":"Mei","given":"Zuguo"},{"family":"Osendarp","given":"Saskia"},{"family":"Paciorek","given":"Christopher J."},{"family":"Petry","given":"Nicolai"},{"family":"Pfeiffer","given":"Christine M."},{"family":"Ramirez-Luzuriaga","given":"Maria J."},{"family":"Rogers","given":"Lisa M."},{"family":"Rohner","given":"Fabian"},{"family":"Sethi","given":"Vani"},{"family":"Suchdev","given":"Parminder S."},{"family":"Tessema","given":"Masresha"},{"family":"Villapando","given":"Salvador"},{"family":"Wieringa","given":"Frank T."},{"family":"Williams","given":"Anne M."},{"family":"Woldeyahannes","given":"Meseret"},{"family":"Young","given":"Melissa F."}],"issued":{"date-parts":[["2022",11,1]]}}},{"id":2976,"uris":["http://zotero.org/users/2850877/items/88TJ8WNM"],"itemData":{"id":2976,"type":"article-journal","abstract":"The Food and Agriculture Organization of the United Nations estimates that 843 million people worldwide are hungry and a greater number suffer from nutrient deficiencies. Approximately one billion people have inadequate protein intake. The challenge of preventing hunger and malnutrition will become even greater as the global population grows from the current 7.2 billion people to 9.6 billion by 2050. With increases in income, population, and demand for more nutrient-dense foods, global meat production is projected to increase by 206 million tons per year during the next 35 years. These changes in population and dietary practices have led to a tremendous rise in the demand for food protein, especially animal-source protein. Consuming the required amounts of protein is fundamental to human growth and health. Protein needs can be met through intakes of animal and plant-source foods. Increased consumption of food proteins is associated with increased greenhouse gas emissions and overutilization of water. Consequently, concerns exist regarding impacts of agricultural production, processing and distribution of food protein on the environment, ecosystem, and sustainability. To address these challenging issues, the New York Academy of Sciences organized the conference “Frontiers in Agricultural Sustainability: Studying the Protein Supply Chain to Improve Dietary Quality” to explore sustainable innovations in food science and programming aimed at producing the required quality and quantity of protein through improved supply chains worldwide. This report provides an extensive discussion of these issues and summaries of the presentations from the conference.","container-title":"Annals of the New York Academy of Sciences","DOI":"10.1111/nyas.12500","ISSN":"1749-6632","issue":"1","language":"en","license":"© 2014 New York Academy of Sciences.","note":"_eprint: https://nyaspubs.onlinelibrary.wiley.com/doi/pdf/10.1111/nyas.12500","page":"1-19","source":"Wiley Online Library","title":"Production and supply of high-quality food protein for human consumption: sustainability, challenges, and innovations","title-short":"Production and supply of high-quality food protein for human consumption","volume":"1321","author":[{"family":"Wu","given":"Guoyao"},{"family":"Fanzo","given":"Jessica"},{"family":"Miller","given":"Dennis D."},{"family":"Pingali","given":"Prabhu"},{"family":"Post","given":"Mark"},{"family":"Steiner","given":"Jean L."},{"family":"Thalacker-Mercer","given":"Anna E."}],"issued":{"date-parts":[["2014"]]}}},{"id":1023,"uris":["http://zotero.org/users/2850877/items/KQ6X3IGT"],"itemData":{"id":1023,"type":"article-journal","abstract":"Understanding dietary patterns is vital to reducing the number of people experiencing hunger (about 795 million), micronutrient deficiencies (2 billion), and overweight or obesity (2.1 billion). We characterize global trends in dietary quality by estimating micronutrient density of the food supply, prevalence of inadequate intake of 14 micronutrients, and average prevalence of inadequate intake of these micronutrients for all countries between 1961 and 2011. Over this 50-year period, the estimated prevalence of inadequate intakes of micronutrients has declined in all regions due to increased total production of food and/or micronutrient density. This decline has been particularly strong in East and Southeast Asia and weaker in South Asia and sub-Saharan Africa. Sub-Saharan Africa is the only region where dietary micronutrient density has declined over this 50-year period. At the global level, micronutrients with the lowest levels of adequate estimated intake are calcium, iron, vitamin A, and zinc, but there are strong differences between countries and regions. Fortification has reduced the estimated prevalence of inadequate micronutrient intakes in all low-income regions, except South Asia. The food supply in many countries is still far below energy requirements, which suggests a need to increase the availability and accessibility of nutritious foods. Countries where the food energy supply is adequate show a very large variation in dietary quality, and in many of these countries people would benefit from more diverse diets with a greater proportion of micronutrient-dense foods. Dietary quality can be improved through fortification, biofortification, and agricultural diversification, as well as efforts to improve access to and use of micronutrient-dense foods and nutritional knowledge. Reducing poverty and increasing education, especially of women, are integral to sustainably addressing malnutrition.","container-title":"PLOS ONE","DOI":"10.1371/journal.pone.0175554","ISSN":"1932-6203","issue":"4","journalAbbreviation":"PLOS ONE","page":"e0175554","source":"PLoS Journals","title":"Global trends in dietary micronutrient supplies and estimated prevalence of inadequate intakes","volume":"12","author":[{"family":"Beal","given":"Ty"},{"family":"Massiot","given":"Eric"},{"family":"Arsenault","given":"Joanne E."},{"family":"Smith","given":"Matthew R."},{"family":"Hijmans","given":"Robert J."}],"issued":{"date-parts":[["2017",4,11]]}}},{"id":3938,"uris":["http://zotero.org/users/2850877/items/V3N3FEGV"],"itemData":{"id":3938,"type":"article-journal","abstract":"Access to high-quality dietary intake data is central to many nutrition, epidemiology, economic, environmental, and policy applications. When data on individual nutrient intakes are available, they have not been consistently disaggregated by sex and age groups, and their parameters and full distributions are often not publicly available.We sought to derive usual intake distributions for as many nutrients and population subgroups as possible, use these distributions to estimate nutrient intake inadequacy, compare these distributions and evaluate the implications of their shapes on the estimation of inadequacy, and make these distributions publicly available.We compiled dietary data sets from 31 geographically diverse countries, modeled usual intake distributions for 32 micronutrients and 21 macronutrients, and disaggregated these distributions by sex and age groups. We compared the variability and skewness of the distributions and evaluated their similarity across countries, sex, and age groups. We estimated intake inadequacy for 16 nutrients based on a harmonized set of nutrient requirements and bioavailability estimates. Last, we created an R package—nutriR—to make these distributions freely available for users to apply in their own analyses.Usual intake distributions were rarely symmetric and differed widely in variability and skewness across nutrients and countries. Vitamin intake distributions were more variable and skewed and exhibited less similarity among countries than other nutrients. Inadequate intakes were high and geographically concentrated, as well as generally higher for females than males. We found that the shape of usual intake distributions strongly affects estimates of the prevalence of inadequate intakes.The shape of nutrient intake distributions differs based on nutrient and subgroup and strongly influences estimates of nutrient intake inadequacy. This research represents an important contribution to the availability and application of dietary intake data for diverse subpopulations around the world.","container-title":"The American Journal of Clinical Nutrition","DOI":"10.1093/ajcn/nqac108","ISSN":"0002-9165","issue":"2","journalAbbreviation":"The American Journal of Clinical Nutrition","page":"551-560","source":"Silverchair","title":"Estimating national and subnational nutrient intake distributions of global diets","volume":"116","author":[{"family":"Passarelli","given":"Simone"},{"family":"Free","given":"Christopher M"},{"family":"Allen","given":"Lindsay H"},{"family":"Batis","given":"Carolina"},{"family":"Beal","given":"Ty"},{"family":"Biltoft-Jensen","given":"Anja Pia"},{"family":"Bromage","given":"Sabri"},{"family":"Cao","given":"Ling"},{"family":"Castellanos-Gutiérrez","given":"Analí"},{"family":"Christensen","given":"Tue"},{"family":"Crispim","given":"Sandra P"},{"family":"Dekkers","given":"Arnold"},{"family":"De Ridder","given":"Karin"},{"family":"Kronsteiner-Gicevic","given":"Selma"},{"family":"Lee","given":"Christopher"},{"family":"Li","given":"Yanping"},{"family":"Moursi","given":"Mourad"},{"family":"Moyersoen","given":"Isabelle"},{"family":"Schmidhuber","given":"Josef"},{"family":"Shepon","given":"Alon"},{"family":"Viana","given":"Daniel F"},{"family":"Golden","given":"Christopher D"}],"issued":{"date-parts":[["2022",8,1]]}}}],"schema":"https://github.com/citation-style-language/schema/raw/master/csl-citation.json"} </w:instrText>
      </w:r>
      <w:r w:rsidR="005E6BF0" w:rsidRPr="00F549CC">
        <w:rPr>
          <w:rFonts w:ascii="Times New Roman" w:hAnsi="Times New Roman" w:cs="Times New Roman"/>
        </w:rPr>
        <w:fldChar w:fldCharType="separate"/>
      </w:r>
      <w:r w:rsidR="007267F7" w:rsidRPr="007267F7">
        <w:rPr>
          <w:rFonts w:ascii="Times New Roman" w:hAnsi="Times New Roman" w:cs="Times New Roman"/>
          <w:kern w:val="0"/>
          <w:vertAlign w:val="superscript"/>
        </w:rPr>
        <w:t>22–26</w:t>
      </w:r>
      <w:r w:rsidR="005E6BF0" w:rsidRPr="00F549CC">
        <w:rPr>
          <w:rFonts w:ascii="Times New Roman" w:hAnsi="Times New Roman" w:cs="Times New Roman"/>
        </w:rPr>
        <w:fldChar w:fldCharType="end"/>
      </w:r>
      <w:r>
        <w:rPr>
          <w:rFonts w:ascii="Times New Roman" w:eastAsia="Times New Roman" w:hAnsi="Times New Roman" w:cs="Times New Roman"/>
        </w:rPr>
        <w:t xml:space="preserve"> and dietary factors that indicate protection against noncommunicable diseases</w:t>
      </w:r>
      <w:r w:rsidR="00AF0EE1" w:rsidRPr="00F549CC">
        <w:rPr>
          <w:rFonts w:ascii="Times New Roman" w:hAnsi="Times New Roman" w:cs="Times New Roman"/>
        </w:rPr>
        <w:fldChar w:fldCharType="begin"/>
      </w:r>
      <w:r w:rsidR="007267F7">
        <w:rPr>
          <w:rFonts w:ascii="Times New Roman" w:hAnsi="Times New Roman" w:cs="Times New Roman"/>
        </w:rPr>
        <w:instrText xml:space="preserve"> ADDIN ZOTERO_ITEM CSL_CITATION {"citationID":"aclu3seui1","properties":{"formattedCitation":"\\super 3,27,28\\nosupersub{}","plainCitation":"3,27,28","noteIndex":0},"citationItems":[{"id":3101,"uris":["http://zotero.org/users/2850877/items/YY2LRKJT"],"itemData":{"id":3101,"type":"article-journal","abstract":"Nutrient profiling systems (NPS) aim to discriminate the healthfulness of foods for front-of-package labelling, warning labels, taxation, company ratings and more. Existing NPS often assess relatively few nutrients and ingredients, use inconsistent criteria across food categories and have not incorporated the newest science. Here, we developed and validated an NPS, the Food Compass, to incorporate a broader range of food characteristics, attributes and uniform scoring principles. We scored 54 attributes across 9 health-relevant domains: nutrient ratios, vitamins, minerals, food ingredients, additives, processing, specific lipids, fibre and protein, and phytochemicals. The domain scores were summed into a final Food Compass Score (FCS) ranging from 1 (least healthy) to 100 (most healthy) for all foods and beverages. Content validity was confirmed by assessing nutrients, food ingredients and other characteristics of public health concern; face validity was confirmed by assessing the FCS for 8,032 foods and beverages reported in NHANES/FNDDS 2015–16; and convergent and discriminant validity was confirmed from comparisons with the NOVA food processing classification, the Health Star Rating and the Nutri-Score. The FCS differentiated food categories and food items well, with mean ± s.d. ranging from 16.4 ± 17.7 for savoury snacks and sweet desserts to 78.6 ± 17.4 for legumes, nuts and seeds. In many food categories, the FCS provided important discrimination of specific foods and beverages as compared with NOVA, the Health Star Rating or the Nutri-Score. On the basis of demonstrated content, convergent and discriminant validity, the Food Compass provides an NPS scoring a broader range of attributes and domains than previous systems with uniform and transparent principles. This publicly available tool will help guide consumer choice, research, food policy, industry reformulations and mission-focused investment decisions.","container-title":"Nature Food","DOI":"10.1038/s43016-021-00381-y","ISSN":"2662-1355","issue":"10","journalAbbreviation":"Nat Food","language":"en","license":"2021 The Author(s), under exclusive licence to Springer Nature Limited","note":"Bandiera_abtest: a\nCg_type: Nature Research Journals\nnumber: 10\nPrimary_atype: Research\npublisher: Nature Publishing Group\nSubject_term: Business;Risk factors\nSubject_term_id: business;risk-factors","page":"809-818","source":"www.nature.com","title":"Food Compass is a nutrient profiling system using expanded characteristics for assessing healthfulness of foods","volume":"2","author":[{"family":"Mozaffarian","given":"Dariush"},{"family":"El-Abbadi","given":"Naglaa H."},{"family":"O’Hearn","given":"Meghan"},{"family":"Erndt-Marino","given":"Josh"},{"family":"Masters","given":"William A."},{"family":"Jacques","given":"Paul"},{"family":"Shi","given":"Peilin"},{"family":"Blumberg","given":"Jeffrey B."},{"family":"Micha","given":"Renata"}],"issued":{"date-parts":[["2021",10]]}}},{"id":4126,"uris":["http://zotero.org/users/2850877/items/4572G3LN"],"itemData":{"id":4126,"type":"article-journal","abstract":"A recent Perspective article described the “carbohydrate-insulin model (CIM)” of obesity, asserting that it “better reflects knowledge on the biology of weight control” as compared with what was described as the “dominant energy balance model (EBM),” which fails to consider “biological mechanisms that promote weight gain.” Unfortunately, the Perspective conflated and confused the principle of energy balance, a law of physics that is agnostic as to obesity mechanisms, with the EBM as a theoretical model of obesity that is firmly based on biology. In doing so, the authors presented a false choice between the CIM and a caricature of the EBM that does not reflect modern obesity science. Here, we present a more accurate description of the EBM where the brain is the primary organ responsible for body weight regulation operating mainly below our conscious awareness via complex endocrine, metabolic, and nervous system signals to control food intake in response to the body’s dynamic energy needs as well as environmental influences. We also describe the recent history of the CIM and show how the latest “most comprehensive formulation” abandons a formerly central feature that required fat accumulation in adipose tissue to be the primary driver of positive energy balance. As such, the new CIM can be considered a special case of the more comprehensive EBM but with a narrower focus on diets high in glycemic load as the primary factor responsible for common obesity. We review data from a wide variety of studies that address the validity of each model and demonstrate that the EBM is a more robust theory of obesity than the CIM.","container-title":"The American Journal of Clinical Nutrition","DOI":"10.1093/ajcn/nqac031","ISSN":"0002-9165","issue":"5","journalAbbreviation":"The American Journal of Clinical Nutrition","page":"1243-1254","source":"ScienceDirect","title":"The energy balance model of obesity: beyond calories in, calories out","title-short":"The energy balance model of obesity","volume":"115","author":[{"family":"Hall","given":"Kevin D"},{"family":"Farooqi","given":"I Sadaf"},{"family":"Friedman","given":"Jeffery M"},{"family":"Klein","given":"Samuel"},{"family":"Loos","given":"Ruth JF"},{"family":"Mangelsdorf","given":"David J"},{"family":"O’Rahilly","given":"Stephen"},{"family":"Ravussin","given":"Eric"},{"family":"Redman","given":"Leanne M"},{"family":"Ryan","given":"Donna H"},{"family":"Speakman","given":"John R"},{"family":"Tobias","given":"Deirdre K"}],"issued":{"date-parts":[["2022",5,1]]}}},{"id":2115,"uris":["http://zotero.org/users/2850877/items/LK26HTTN"],"itemData":{"id":2115,"type":"article-journal","abstract":"&lt;h2&gt;Summary&lt;/h2&gt;&lt;h3&gt;Background&lt;/h3&gt;&lt;p&gt;Suboptimal diet is an important preventable risk factor for non-communicable diseases (NCDs); however, its impact on the burden of NCDs has not been systematically evaluated. This study aimed to evaluate the consumption of major foods and nutrients across 195 countries and to quantify the impact of their suboptimal intake on NCD mortality and morbidity.&lt;/p&gt;&lt;h3&gt;Methods&lt;/h3&gt;&lt;p&gt;By use of a comparative risk assessment approach, we estimated the proportion of disease-specific burden attributable to each dietary risk factor (also referred to as population attributable fraction) among adults aged 25 years or older. The main inputs to this analysis included the intake of each dietary factor, the effect size of the dietary factor on disease endpoint, and the level of intake associated with the lowest risk of mortality. Then, by use of disease-specific population attributable fractions, mortality, and disability-adjusted life-years (DALYs), we calculated the number of deaths and DALYs attributable to diet for each disease outcome.&lt;/p&gt;&lt;h3&gt;Findings&lt;/h3&gt;&lt;p&gt;In 2017, 11 million (95% uncertainty interval [UI] 10–12) deaths and 255 million (234–274) DALYs were attributable to dietary risk factors. High intake of sodium (3 million [1–5] deaths and 70 million [34–118] DALYs), low intake of whole grains (3 million [2–4] deaths and 82 million [59–109] DALYs), and low intake of fruits (2 million [1–4] deaths and 65 million [41–92] DALYs) were the leading dietary risk factors for deaths and DALYs globally and in many countries. Dietary data were from mixed sources and were not available for all countries, increasing the statistical uncertainty of our estimates.&lt;/p&gt;&lt;h3&gt;Interpretation&lt;/h3&gt;&lt;p&gt;This study provides a comprehensive picture of the potential impact of suboptimal diet on NCD mortality and morbidity, highlighting the need for improving diet across nations. Our findings will inform implementation of evidence-based dietary interventions and provide a platform for evaluation of their impact on human health annually.&lt;/p&gt;&lt;h3&gt;Funding&lt;/h3&gt;&lt;p&gt;Bill &amp; Melinda Gates Foundation.&lt;/p&gt;","container-title":"The Lancet","DOI":"10.1016/S0140-6736(19)30041-8","ISSN":"0140-6736, 1474-547X","issue":"0","journalAbbreviation":"The Lancet","language":"English","source":"www.thelancet.com","title":"Health effects of dietary risks in 195 countries, 1990–2017: a systematic analysis for the Global Burden of Disease Study 2017","title-short":"Health effects of dietary risks in 195 countries, 1990–2017","URL":"https://www.thelancet.com/journals/lancet/article/PIIS0140-6736(19)30041-8/abstract","volume":"0","author":[{"family":"Afshin","given":"Ashkan"},{"family":"Sur","given":"Patrick John"},{"family":"Fay","given":"Kairsten A."},{"family":"Cornaby","given":"Leslie"},{"family":"Ferrara","given":"Giannina"},{"family":"Salama","given":"Joseph S."},{"family":"Mullany","given":"Erin C."},{"family":"Abate","given":"Kalkidan Hassen"},{"family":"Abbafati","given":"Cristiana"},{"family":"Abebe","given":"Zegeye"},{"family":"Afarideh","given":"Mohsen"},{"family":"Aggarwal","given":"Anju"},{"family":"Agrawal","given":"Sutapa"},{"family":"Akinyemiju","given":"Tomi"},{"family":"Alahdab","given":"Fares"},{"family":"Bacha","given":"Umar"},{"family":"Bachman","given":"Victoria F."},{"family":"Badali","given":"Hamid"},{"family":"Badawi","given":"Alaa"},{"family":"Bensenor","given":"Isabela M."},{"family":"Bernabe","given":"Eduardo"},{"family":"Biadgilign","given":"Sibhatu Kassa K."},{"family":"Biryukov","given":"Stan H."},{"family":"Cahill","given":"Leah E."},{"family":"Carrero","given":"Juan J."},{"family":"Cercy","given":"Kelly M."},{"family":"Dandona","given":"Lalit"},{"family":"Dandona","given":"Rakhi"},{"family":"Dang","given":"Anh Kim"},{"family":"Degefa","given":"Meaza Girma"},{"family":"Zaki","given":"Maysaa El Sayed"},{"family":"Esteghamati","given":"Alireza"},{"family":"Esteghamati","given":"Sadaf"},{"family":"Fanzo","given":"Jessica"},{"family":"Farinha","given":"Carla Sofia e Sá"},{"family":"Farvid","given":"Maryam S."},{"family":"Farzadfar","given":"Farshad"},{"family":"Feigin","given":"Valery L."},{"family":"Fernandes","given":"Joao C."},{"family":"Flor","given":"Luisa Sorio"},{"family":"Foigt","given":"Nataliya A."},{"family":"Forouzanfar","given":"Mohammad H."},{"family":"Ganji","given":"Morsaleh"},{"family":"Geleijnse","given":"Johanna M."},{"family":"Gillum","given":"Richard F."},{"family":"Goulart","given":"Alessandra C."},{"family":"Grosso","given":"Giuseppe"},{"family":"Guessous","given":"Idris"},{"family":"Hamidi","given":"Samer"},{"family":"Hankey","given":"Graeme J."},{"family":"Harikrishnan","given":"Sivadasanpillai"},{"family":"Hassen","given":"Hamid Yimam"},{"family":"Hay","given":"Simon I."},{"family":"Hoang","given":"Chi Linh"},{"family":"Horino","given":"Masako"},{"family":"Islami","given":"Farhad"},{"family":"Jackson","given":"Maria D."},{"family":"James","given":"Spencer L."},{"family":"Johansson","given":"Lars"},{"family":"Jonas","given":"Jost B."},{"family":"Kasaeian","given":"Amir"},{"family":"Khader","given":"Yousef Saleh"},{"family":"Khalil","given":"Ibrahim A."},{"family":"Khang","given":"Young-Ho"},{"family":"Kimokoti","given":"Ruth W."},{"family":"Kokubo","given":"Yoshihiro"},{"family":"Kumar","given":"G. Anil"},{"family":"Lallukka","given":"Tea"},{"family":"Lopez","given":"Alan D."},{"family":"Lorkowski","given":"Stefan"},{"family":"Lotufo","given":"Paulo A."},{"family":"Lozano","given":"Rafael"},{"family":"Malekzadeh","given":"Reza"},{"family":"März","given":"Winfried"},{"family":"Meier","given":"Toni"},{"family":"Melaku","given":"Yohannes A."},{"family":"Mendoza","given":"Walter"},{"family":"Mensink","given":"Gert B. M."},{"family":"Micha","given":"Renata"},{"family":"Miller","given":"Ted R."},{"family":"Mirarefin","given":"Mojde"},{"family":"Mohan","given":"Viswanathan"},{"family":"Mokdad","given":"Ali H."},{"family":"Mozaffarian","given":"Dariush"},{"family":"Nagel","given":"Gabriele"},{"family":"Naghavi","given":"Mohsen"},{"family":"Nguyen","given":"Cuong Tat"},{"family":"Nixon","given":"Molly R."},{"family":"Ong","given":"Kanyin L."},{"family":"Pereira","given":"David M."},{"family":"Poustchi","given":"Hossein"},{"family":"Qorbani","given":"Mostafa"},{"family":"Rai","given":"Rajesh Kumar"},{"family":"Razo-García","given":"Christian"},{"family":"Rehm","given":"Colin D."},{"family":"Rivera","given":"Juan A."},{"family":"Rodríguez-Ramírez","given":"Sonia"},{"family":"Roshandel","given":"Gholamreza"},{"family":"Roth","given":"Gregory A."},{"family":"Sanabria","given":"Juan"},{"family":"Sánchez-Pimienta","given":"Tania G."},{"family":"Sartorius","given":"Benn"},{"family":"Schmidhuber","given":"Josef"},{"family":"Schutte","given":"Aletta Elisabeth"},{"family":"Sepanlou","given":"Sadaf G."},{"family":"Shin","given":"Min-Jeong"},{"family":"Sorensen","given":"Reed J. D."},{"family":"Springmann","given":"Marco"},{"family":"Szponar","given":"Lucjan"},{"family":"Thorne-Lyman","given":"Andrew L."},{"family":"Thrift","given":"Amanda G."},{"family":"Touvier","given":"Mathilde"},{"family":"Tran","given":"Bach Xuan"},{"family":"Tyrovolas","given":"Stefanos"},{"family":"Ukwaja","given":"Kingsley Nnanna"},{"family":"Ullah","given":"Irfan"},{"family":"Uthman","given":"Olalekan A."},{"family":"Vaezghasemi","given":"Masoud"},{"family":"Vasankari","given":"Tommi Juhani"},{"family":"Vollset","given":"Stein Emil"},{"family":"Vos","given":"Theo"},{"family":"Vu","given":"Giang Thu"},{"family":"Vu","given":"Linh Gia"},{"family":"Weiderpass","given":"Elisabete"},{"family":"Werdecker","given":"Andrea"},{"family":"Wijeratne","given":"Tissa"},{"family":"Willett","given":"Walter C."},{"family":"Wu","given":"Jason H."},{"family":"Xu","given":"Gelin"},{"family":"Yonemoto","given":"Naohiro"},{"family":"Yu","given":"Chuanhua"},{"family":"Murray","given":"Christopher J. L."}],"accessed":{"date-parts":[["2019",4,5]]},"issued":{"date-parts":[["2019",4,3]]}}}],"schema":"https://github.com/citation-style-language/schema/raw/master/csl-citation.json"} </w:instrText>
      </w:r>
      <w:r w:rsidR="00AF0EE1" w:rsidRPr="00F549CC">
        <w:rPr>
          <w:rFonts w:ascii="Times New Roman" w:hAnsi="Times New Roman" w:cs="Times New Roman"/>
        </w:rPr>
        <w:fldChar w:fldCharType="separate"/>
      </w:r>
      <w:r w:rsidR="007267F7" w:rsidRPr="007267F7">
        <w:rPr>
          <w:rFonts w:ascii="Times New Roman" w:hAnsi="Times New Roman" w:cs="Times New Roman"/>
          <w:kern w:val="0"/>
          <w:vertAlign w:val="superscript"/>
        </w:rPr>
        <w:t>3,27,28</w:t>
      </w:r>
      <w:r w:rsidR="00AF0EE1" w:rsidRPr="00F549CC">
        <w:rPr>
          <w:rFonts w:ascii="Times New Roman" w:hAnsi="Times New Roman" w:cs="Times New Roman"/>
        </w:rPr>
        <w:fldChar w:fldCharType="end"/>
      </w:r>
      <w:r>
        <w:rPr>
          <w:rFonts w:ascii="Times New Roman" w:eastAsia="Times New Roman" w:hAnsi="Times New Roman" w:cs="Times New Roman"/>
        </w:rPr>
        <w:t>. We tested face validity by implementing the NVS algorithm across recommended local foods available in Indonesia and Bangladesh, two disparate countries with a high burden of malnutrition.</w:t>
      </w:r>
      <w:r w:rsidR="00633016">
        <w:rPr>
          <w:rFonts w:ascii="Times New Roman" w:eastAsia="Times New Roman" w:hAnsi="Times New Roman" w:cs="Times New Roman"/>
        </w:rPr>
        <w:t xml:space="preserve"> We tested convergent validity </w:t>
      </w:r>
      <w:r w:rsidR="0026010B">
        <w:rPr>
          <w:rFonts w:ascii="Times New Roman" w:eastAsia="Times New Roman" w:hAnsi="Times New Roman" w:cs="Times New Roman"/>
        </w:rPr>
        <w:t>by comparing the NVS with Nutri-Score and Health Star Rating</w:t>
      </w:r>
      <w:r w:rsidR="00865046">
        <w:rPr>
          <w:rFonts w:ascii="Times New Roman" w:eastAsia="Times New Roman" w:hAnsi="Times New Roman" w:cs="Times New Roman"/>
        </w:rPr>
        <w:t>, two prominent nutrient profiling systems developed in high-income countries</w:t>
      </w:r>
      <w:r w:rsidR="0026010B">
        <w:rPr>
          <w:rFonts w:ascii="Times New Roman" w:eastAsia="Times New Roman" w:hAnsi="Times New Roman" w:cs="Times New Roman"/>
        </w:rPr>
        <w:t>.</w:t>
      </w:r>
      <w:r>
        <w:rPr>
          <w:rFonts w:ascii="Times New Roman" w:eastAsia="Times New Roman" w:hAnsi="Times New Roman" w:cs="Times New Roman"/>
        </w:rPr>
        <w:t xml:space="preserve"> Finally, we conducted sensitivity analyses of different component weights, micronutrient capping, winsorizing</w:t>
      </w:r>
      <w:r w:rsidR="00AA7684">
        <w:rPr>
          <w:rFonts w:ascii="Times New Roman" w:eastAsia="Times New Roman" w:hAnsi="Times New Roman" w:cs="Times New Roman"/>
        </w:rPr>
        <w:t>, bioavailability adjustments, and reference units</w:t>
      </w:r>
      <w:r>
        <w:rPr>
          <w:rFonts w:ascii="Times New Roman" w:eastAsia="Times New Roman" w:hAnsi="Times New Roman" w:cs="Times New Roman"/>
        </w:rPr>
        <w:t xml:space="preserve"> to test the robustness of the NVS to various assumptions and parameters.</w:t>
      </w:r>
    </w:p>
    <w:p w14:paraId="27D454EC" w14:textId="77777777" w:rsidR="00C05F6D" w:rsidRDefault="00C05F6D">
      <w:pPr>
        <w:spacing w:line="480" w:lineRule="auto"/>
        <w:rPr>
          <w:rFonts w:ascii="Times New Roman" w:eastAsia="Times New Roman" w:hAnsi="Times New Roman" w:cs="Times New Roman"/>
        </w:rPr>
      </w:pPr>
    </w:p>
    <w:p w14:paraId="17CAB8A7" w14:textId="7A337644"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We were not able to assess discriminant validity since the NVS was developed to discriminate between foods recommended in global dietary guidelines. If the NVS was adapted and implemented across a broader range of foods, including ultraprocessed foods, then discriminant validity could be assessed. However, we caution against overreliance on validation of nutrient profiling systems against existing diet quality metrics, like the Healthy Eating Index, in which high scores can be achieved with over 90% of Calories from ultraprocessed foods</w:t>
      </w:r>
      <w:r w:rsidR="00035750" w:rsidRPr="00F549CC">
        <w:rPr>
          <w:rFonts w:ascii="Times New Roman" w:hAnsi="Times New Roman" w:cs="Times New Roman"/>
        </w:rPr>
        <w:fldChar w:fldCharType="begin"/>
      </w:r>
      <w:r w:rsidR="00035750" w:rsidRPr="00F549CC">
        <w:rPr>
          <w:rFonts w:ascii="Times New Roman" w:hAnsi="Times New Roman" w:cs="Times New Roman"/>
        </w:rPr>
        <w:instrText xml:space="preserve"> ADDIN ZOTERO_ITEM CSL_CITATION {"citationID":"a1uth8oq2tc","properties":{"formattedCitation":"\\super 29\\nosupersub{}","plainCitation":"29","noteIndex":0},"citationItems":[{"id":4173,"uris":["http://zotero.org/users/2850877/items/5N9NR63C"],"itemData":{"id":4173,"type":"article-journal","abstract":"Background\nA proposed topic for the 2025 Dietary Guidelines for Americans (DGA) Scientific Advisory Committee to address is the relationship between dietary patterns with ultra-processed foods (UPF) and body composition and weight status. Implementing the NOVA system, the most commonly applied framework for determining whether a food is “ultra-processed,” in dietary guidance could omit several nutrient-dense foods from recommended healthy diets in the DGA.\nObjective\nThe purpose of this proof-of-concept study was to determine the feasibility of building a menu that aligns with recommendations for a healthy dietary pattern from the 2020 DGA and includes ≥80% kcal from UPF as defined by NOVA.\nDesign\nTo accomplish this objective, we first developed a list of foods that fit NOVA criteria for UPF, fit within dietary patterns in the 2020 DGA, and are commonly consumed by Americans. We then used these foods to develop a 7-d, 2000 kcal menu modeled on MyPyramid sample menus and assessed this menu for nutrient content as well as for diet quality using the Healthy Eating Index-2015 (HEI-2015).\nResults\nIn the ultra-processed DGA menu that was created, 91% of kcal were from UPF, or NOVA category 4. The HEI-2015 score was 86 out of a possible 100 points. This sample menu did not achieve a perfect score due primarily to excess sodium and an insufficient amount of whole grains. This menu provided adequate amounts of all macro- and micronutrients except vitamin D, vitamin E, and choline.\nConclusions\nHealthy dietary patterns can include most of their energy from UPF, still receive a high diet quality score, and contain adequate amounts of most macro- and micronutrients.","container-title":"The Journal of Nutrition","DOI":"10.1016/j.tjnut.2023.06.028","ISSN":"0022-3166","issue":"8","journalAbbreviation":"The Journal of Nutrition","page":"2472-2481","source":"ScienceDirect","title":"Dietary Guidelines Meet NOVA: Developing a Menu for A Healthy Dietary Pattern Using Ultra-Processed Foods","title-short":"Dietary Guidelines Meet NOVA","volume":"153","author":[{"family":"Hess","given":"Julie M."},{"family":"Comeau","given":"Madeline E."},{"family":"Casperson","given":"Shanon"},{"family":"Slavin","given":"Joanne L."},{"family":"Johnson","given":"Guy H."},{"family":"Messina","given":"Mark"},{"family":"Raatz","given":"Susan"},{"family":"Scheett","given":"Angela J."},{"family":"Bodensteiner","given":"Anne"},{"family":"Palmer","given":"Daniel G."}],"issued":{"date-parts":[["2023",8,1]]}}}],"schema":"https://github.com/citation-style-language/schema/raw/master/csl-citation.json"} </w:instrText>
      </w:r>
      <w:r w:rsidR="00035750" w:rsidRPr="00F549CC">
        <w:rPr>
          <w:rFonts w:ascii="Times New Roman" w:hAnsi="Times New Roman" w:cs="Times New Roman"/>
        </w:rPr>
        <w:fldChar w:fldCharType="separate"/>
      </w:r>
      <w:r w:rsidR="00035750" w:rsidRPr="00F549CC">
        <w:rPr>
          <w:rFonts w:ascii="Times New Roman" w:hAnsi="Times New Roman" w:cs="Times New Roman"/>
          <w:kern w:val="0"/>
          <w:vertAlign w:val="superscript"/>
        </w:rPr>
        <w:t>29</w:t>
      </w:r>
      <w:r w:rsidR="00035750" w:rsidRPr="00F549CC">
        <w:rPr>
          <w:rFonts w:ascii="Times New Roman" w:hAnsi="Times New Roman" w:cs="Times New Roman"/>
        </w:rPr>
        <w:fldChar w:fldCharType="end"/>
      </w:r>
      <w:r>
        <w:rPr>
          <w:rFonts w:ascii="Times New Roman" w:eastAsia="Times New Roman" w:hAnsi="Times New Roman" w:cs="Times New Roman"/>
        </w:rPr>
        <w:t>. This is because rigorous evidence from a randomized controlled trial found that a diet consisting of 80% of Calories from ultraprocessed foods led to substantial overeating and weight gain compared to a diet containing mostly unprocessed foods, even though meals within both diets were matched for presented Calories, macronutrients, sugar, sodium, and fiber</w:t>
      </w:r>
      <w:r w:rsidR="00994534" w:rsidRPr="00F549CC">
        <w:rPr>
          <w:rFonts w:ascii="Times New Roman" w:hAnsi="Times New Roman" w:cs="Times New Roman"/>
        </w:rPr>
        <w:fldChar w:fldCharType="begin"/>
      </w:r>
      <w:r w:rsidR="00994534" w:rsidRPr="00F549CC">
        <w:rPr>
          <w:rFonts w:ascii="Times New Roman" w:hAnsi="Times New Roman" w:cs="Times New Roman"/>
        </w:rPr>
        <w:instrText xml:space="preserve"> ADDIN ZOTERO_ITEM CSL_CITATION {"citationID":"aloc7d66ef","properties":{"formattedCitation":"\\super 30\\nosupersub{}","plainCitation":"30","noteIndex":0},"citationItems":[{"id":2802,"uris":["http://zotero.org/users/2850877/items/UTTNT98G"],"itemData":{"id":2802,"type":"article-journal","abstract":"We investigated whether ultra-processed foods affect energy intake in 20 weight-stable adults, aged (mean ± SE) 31.2 ± 1.6 years and BMI = 27 ± 1.5 kg/m2. Subjects were admitted to the NIH Clinical Center and randomized to receive either ultra-processed or unprocessed diets for 2 weeks immediately followed by the alternate diet for 2 weeks. Meals were designed to be matched for presented calories, energy density, macronutrients, sugar, sodium, and fiber. Subjects were instructed to consume as much or as little as desired. Energy intake was greater during the ultra-processed diet (508 ± 106 kcal/day; p = 0.0001), with increased consumption of carbohydrate (280 ± 54 kcal/day; p &lt; 0.0001) and fat (230 ± 53 kcal/day; p = 0.0004), but not protein (−2 ± 12 kcal/day; p = 0.85). Weight changes were highly correlated with energy intake (r = 0.8, p &lt; 0.0001), with participants gaining 0.9 ± 0.3 kg (p = 0.009) during the ultra-processed diet and losing 0.9 ± 0.3 kg (p = 0.007) during the unprocessed diet. Limiting consumption of ultra-processed foods may be an effective strategy for obesity prevention and treatment.","container-title":"Cell Metabolism","DOI":"10.1016/j.cmet.2019.05.008","ISSN":"1550-4131","issue":"1","journalAbbreviation":"Cell Metabolism","language":"en","page":"67-77.e3","source":"ScienceDirect","title":"Ultra-Processed Diets Cause Excess Calorie Intake and Weight Gain: An Inpatient Randomized Controlled Trial of Ad Libitum Food Intake","title-short":"Ultra-Processed Diets Cause Excess Calorie Intake and Weight Gain","volume":"30","author":[{"family":"Hall","given":"Kevin D."},{"family":"Ayuketah","given":"Alexis"},{"family":"Brychta","given":"Robert"},{"family":"Cai","given":"Hongyi"},{"family":"Cassimatis","given":"Thomas"},{"family":"Chen","given":"Kong Y."},{"family":"Chung","given":"Stephanie T."},{"family":"Costa","given":"Elise"},{"family":"Courville","given":"Amber"},{"family":"Darcey","given":"Valerie"},{"family":"Fletcher","given":"Laura A."},{"family":"Forde","given":"Ciaran G."},{"family":"Gharib","given":"Ahmed M."},{"family":"Guo","given":"Juen"},{"family":"Howard","given":"Rebecca"},{"family":"Joseph","given":"Paule V."},{"family":"McGehee","given":"Suzanne"},{"family":"Ouwerkerk","given":"Ronald"},{"family":"Raisinger","given":"Klaudia"},{"family":"Rozga","given":"Irene"},{"family":"Stagliano","given":"Michael"},{"family":"Walter","given":"Mary"},{"family":"Walter","given":"Peter J."},{"family":"Yang","given":"Shanna"},{"family":"Zhou","given":"Megan"}],"issued":{"date-parts":[["2019",7,2]]}}}],"schema":"https://github.com/citation-style-language/schema/raw/master/csl-citation.json"} </w:instrText>
      </w:r>
      <w:r w:rsidR="00994534" w:rsidRPr="00F549CC">
        <w:rPr>
          <w:rFonts w:ascii="Times New Roman" w:hAnsi="Times New Roman" w:cs="Times New Roman"/>
        </w:rPr>
        <w:fldChar w:fldCharType="separate"/>
      </w:r>
      <w:r w:rsidR="00994534" w:rsidRPr="00F549CC">
        <w:rPr>
          <w:rFonts w:ascii="Times New Roman" w:hAnsi="Times New Roman" w:cs="Times New Roman"/>
          <w:kern w:val="0"/>
          <w:vertAlign w:val="superscript"/>
        </w:rPr>
        <w:t>30</w:t>
      </w:r>
      <w:r w:rsidR="00994534" w:rsidRPr="00F549CC">
        <w:rPr>
          <w:rFonts w:ascii="Times New Roman" w:hAnsi="Times New Roman" w:cs="Times New Roman"/>
        </w:rPr>
        <w:fldChar w:fldCharType="end"/>
      </w:r>
      <w:r>
        <w:rPr>
          <w:rFonts w:ascii="Times New Roman" w:eastAsia="Times New Roman" w:hAnsi="Times New Roman" w:cs="Times New Roman"/>
        </w:rPr>
        <w:t>. Moreover, Healthy Eating Index scores have increased</w:t>
      </w:r>
      <w:r w:rsidR="006A5D73" w:rsidRPr="00F549CC">
        <w:rPr>
          <w:rFonts w:ascii="Times New Roman" w:hAnsi="Times New Roman" w:cs="Times New Roman"/>
        </w:rPr>
        <w:fldChar w:fldCharType="begin"/>
      </w:r>
      <w:r w:rsidR="006A5D73" w:rsidRPr="00F549CC">
        <w:rPr>
          <w:rFonts w:ascii="Times New Roman" w:hAnsi="Times New Roman" w:cs="Times New Roman"/>
        </w:rPr>
        <w:instrText xml:space="preserve"> ADDIN ZOTERO_ITEM CSL_CITATION {"citationID":"a28omrj5c6s","properties":{"formattedCitation":"\\super 31\\nosupersub{}","plainCitation":"31","noteIndex":0},"citationItems":[{"id":4177,"uris":["http://zotero.org/users/2850877/items/P7DL6JX8"],"itemData":{"id":4177,"type":"article-journal","abstract":"The US food system is primarily an economic enterprise, with far-reaching health, environmental, and social effects. A key data source for evaluating the many effects of the food system, including the overall quality and extent to which it provides the basic elements of a healthful diet, is the Food Availability Data System. The objective of the present study was to update earlier research that evaluated the extent to which the US food supply aligns with the most recent federal dietary guidance, using the current Healthy Eating Index-2010 (HEI-2010) and food supply data extending through 2010. The HEI-2010 was applied to 40 years of food supply data (1970-2010) to examine trends in the overall food supply as well as specific components related to a healthy diet, such as fruits and vegetables. The HEI-2010 overall summary score hovered around half of optimal for all years evaluated, with an increase from 48 points in 1970 to 55 points (out of a possible 100 points) in 2010. Fluctuations in scores for most individual components did not lead to sustained trends. Our study continues to demonstrate sizable gaps between federal dietary guidance and the food supply. This disconnect is troublesome within a context of high rates of diet-related chronic diseases among the population and suggests the need for continual monitoring of the quality of the food supply. Moving toward a food system that is more conducive to healthy eating requires consideration of a range of factors that influence food supply and demand.","container-title":"Journal of the Academy of Nutrition and Dietetics","DOI":"10.1016/j.jand.2014.08.030","ISSN":"2212-2672","issue":"1","journalAbbreviation":"Journal of the Academy of Nutrition and Dietetics","page":"95-100","source":"ScienceDirect","title":"The United States Food Supply Is Not Consistent with Dietary Guidance: Evidence from an Evaluation Using the Healthy Eating Index-2010","title-short":"The United States Food Supply Is Not Consistent with Dietary Guidance","volume":"115","author":[{"family":"Miller","given":"Paige E."},{"family":"Reedy","given":"Jill"},{"family":"Kirkpatrick","given":"Sharon I."},{"family":"Krebs-Smith","given":"Susan M."}],"issued":{"date-parts":[["2015",1,1]]}}}],"schema":"https://github.com/citation-style-language/schema/raw/master/csl-citation.json"} </w:instrText>
      </w:r>
      <w:r w:rsidR="006A5D73" w:rsidRPr="00F549CC">
        <w:rPr>
          <w:rFonts w:ascii="Times New Roman" w:hAnsi="Times New Roman" w:cs="Times New Roman"/>
        </w:rPr>
        <w:fldChar w:fldCharType="separate"/>
      </w:r>
      <w:r w:rsidR="006A5D73" w:rsidRPr="00F549CC">
        <w:rPr>
          <w:rFonts w:ascii="Times New Roman" w:hAnsi="Times New Roman" w:cs="Times New Roman"/>
          <w:kern w:val="0"/>
          <w:vertAlign w:val="superscript"/>
        </w:rPr>
        <w:t>31</w:t>
      </w:r>
      <w:r w:rsidR="006A5D73" w:rsidRPr="00F549CC">
        <w:rPr>
          <w:rFonts w:ascii="Times New Roman" w:hAnsi="Times New Roman" w:cs="Times New Roman"/>
        </w:rPr>
        <w:fldChar w:fldCharType="end"/>
      </w:r>
      <w:r>
        <w:rPr>
          <w:rFonts w:ascii="Times New Roman" w:eastAsia="Times New Roman" w:hAnsi="Times New Roman" w:cs="Times New Roman"/>
        </w:rPr>
        <w:t xml:space="preserve"> alongside the obesity epidemic in the US, further calling into question the suitability of the Healthy Eating Index for validation of nutrient profiling systems through observational study designs</w:t>
      </w:r>
      <w:r w:rsidR="006A5D73" w:rsidRPr="00F549CC">
        <w:rPr>
          <w:rFonts w:ascii="Times New Roman" w:hAnsi="Times New Roman" w:cs="Times New Roman"/>
        </w:rPr>
        <w:fldChar w:fldCharType="begin"/>
      </w:r>
      <w:r w:rsidR="006A5D73" w:rsidRPr="00F549CC">
        <w:rPr>
          <w:rFonts w:ascii="Times New Roman" w:hAnsi="Times New Roman" w:cs="Times New Roman"/>
        </w:rPr>
        <w:instrText xml:space="preserve"> ADDIN ZOTERO_ITEM CSL_CITATION {"citationID":"a4m2b76puc","properties":{"formattedCitation":"\\super 32\\nosupersub{}","plainCitation":"32","noteIndex":0},"citationItems":[{"id":4180,"uris":["http://zotero.org/users/2850877/items/7FKP8G9E"],"itemData":{"id":4180,"type":"article-journal","abstract":"An increasing trend in obesity prevalence since the early 1980s has posed a significant population health burden across the globe. We conducted a systematic review for studies using measured anthropometry to examine trends in obesity in the USA published from 2012 to 2018 and for systematic reviews to document trends in obesity across the globe published from 2014 to 2018.","container-title":"Current Obesity Reports","DOI":"10.1007/s13679-018-0317-8","ISSN":"2162-4968","issue":"4","journalAbbreviation":"Curr Obes Rep","language":"en","page":"276-288","source":"Springer Link","title":"Epidemiology of Obesity in Adults: Latest Trends","title-short":"Epidemiology of Obesity in Adults","volume":"7","author":[{"family":"Inoue","given":"Yosuke"},{"family":"Qin","given":"Bo"},{"family":"Poti","given":"Jennifer"},{"family":"Sokol","given":"Rebeccah"},{"family":"Gordon-Larsen","given":"Penny"}],"issued":{"date-parts":[["2018",12,1]]}}}],"schema":"https://github.com/citation-style-language/schema/raw/master/csl-citation.json"} </w:instrText>
      </w:r>
      <w:r w:rsidR="006A5D73" w:rsidRPr="00F549CC">
        <w:rPr>
          <w:rFonts w:ascii="Times New Roman" w:hAnsi="Times New Roman" w:cs="Times New Roman"/>
        </w:rPr>
        <w:fldChar w:fldCharType="separate"/>
      </w:r>
      <w:r w:rsidR="006A5D73" w:rsidRPr="00F549CC">
        <w:rPr>
          <w:rFonts w:ascii="Times New Roman" w:hAnsi="Times New Roman" w:cs="Times New Roman"/>
          <w:kern w:val="0"/>
          <w:vertAlign w:val="superscript"/>
        </w:rPr>
        <w:t>32</w:t>
      </w:r>
      <w:r w:rsidR="006A5D73" w:rsidRPr="00F549CC">
        <w:rPr>
          <w:rFonts w:ascii="Times New Roman" w:hAnsi="Times New Roman" w:cs="Times New Roman"/>
        </w:rPr>
        <w:fldChar w:fldCharType="end"/>
      </w:r>
      <w:r>
        <w:rPr>
          <w:rFonts w:ascii="Times New Roman" w:eastAsia="Times New Roman" w:hAnsi="Times New Roman" w:cs="Times New Roman"/>
        </w:rPr>
        <w:t>.</w:t>
      </w:r>
    </w:p>
    <w:p w14:paraId="571AAD1E" w14:textId="77777777" w:rsidR="00C05F6D" w:rsidRDefault="00C05F6D">
      <w:pPr>
        <w:spacing w:line="480" w:lineRule="auto"/>
        <w:rPr>
          <w:rFonts w:ascii="Times New Roman" w:eastAsia="Times New Roman" w:hAnsi="Times New Roman" w:cs="Times New Roman"/>
        </w:rPr>
      </w:pPr>
    </w:p>
    <w:p w14:paraId="3570388F" w14:textId="234CFBA7"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t>Future research could test the NVS for criterion validity</w:t>
      </w:r>
      <w:r w:rsidR="009C0D3D">
        <w:rPr>
          <w:rFonts w:ascii="Times New Roman" w:eastAsia="Times New Roman" w:hAnsi="Times New Roman" w:cs="Times New Roman"/>
        </w:rPr>
        <w:fldChar w:fldCharType="begin"/>
      </w:r>
      <w:r w:rsidR="009C0D3D">
        <w:rPr>
          <w:rFonts w:ascii="Times New Roman" w:eastAsia="Times New Roman" w:hAnsi="Times New Roman" w:cs="Times New Roman"/>
        </w:rPr>
        <w:instrText xml:space="preserve"> ADDIN ZOTERO_ITEM CSL_CITATION {"citationID":"a2hg25mlgrf","properties":{"formattedCitation":"\\super 33\\nosupersub{}","plainCitation":"33","noteIndex":0},"citationItems":[{"id":4202,"uris":["http://zotero.org/users/2850877/items/LQC7QA68"],"itemData":{"id":4202,"type":"article-journal","abstract":"Background\nNutrient profiling systems (NPSs) use algorithms to evaluate the nutritional quality of foods and beverages. Criterion validation, which assesses the relationship between consuming foods rated as healthier by the NPS and objective measures of health, is essential to ensure the accuracy of NPSs.\nObjective\nWe examined and compared NPSs that have undergone criterion validity testing in relation to diet-related disease risk and risk markers.\nMethods\nAcademic databases were searched for prospective cohort and cross-sectional studies published before November, 2022. NPSs were eligible if they incorporated multiple nutrients or food components using an algorithm to determine an overall summary indicator (e.g., a score or rank) for individual foods. Studies were included if they assessed the criterion validity of an eligible NPS. Validation evidence was first summarized in narrative form by NPS, with random effects meta-analysis where ≥2 prospective cohort studies assessed the same NPS and outcomes.\nResults\nOf 4519 publications identified, 29 describing 9 NPSs were included in the review. The Nutri-Score NPS was assessed as having substantial criterion validation evidence. Highest compared with lowest diet quality as defined by the Nutri-Score was associated with significantly lower risk of cardiovascular disease (hazard ratio [HR]: 0.74; 95% confidence interval [CI]: 0.59, 0.93; n = 6), cancer (HR: 0.75; 95% CI: 0.59, 0.94; n = 5), all-cause mortality (HR: 0.74; 95% CI; 0.59, 0.91; n = 4) and change in body mass index (HR: 0.68; 95% CI: 0.50, 0.92; n = 3). The Food Standards Agency NPS, Health Star Rating, Nutrient Profiling Scoring Criterion, Food Compass, Overall Nutrition Quality Index, and the Nutrient-Rich Food Index were determined as having intermediate criterion validation evidence. Two other NPSs were determined as having limited criterion validation evidence.\nConclusions\nWe found limited criterion validation studies compared with the number of NPSs estimated to exist. Greater emphasis on conducting and reporting on criterion validation studies across varied contexts may improve the confidence in existing NPSs.","container-title":"The American Journal of Clinical Nutrition","DOI":"10.1016/j.ajcnut.2023.10.013","ISSN":"0002-9165","issue":"1","journalAbbreviation":"The American Journal of Clinical Nutrition","page":"145-163","source":"ScienceDirect","title":"Criterion validation of nutrient profiling systems: a systematic review and meta-analysis","title-short":"Criterion validation of nutrient profiling systems","volume":"119","author":[{"family":"Barrett","given":"Eden M."},{"family":"Afrin","given":"Habiba"},{"family":"Rayner","given":"Mike"},{"family":"Pettigrew","given":"Simone"},{"family":"Gaines","given":"Allison"},{"family":"Maganja","given":"Damian"},{"family":"Jones","given":"Alexandra"},{"family":"Mozaffarian","given":"Dariush"},{"family":"Beck","given":"Eleanor J."},{"family":"Neal","given":"Bruce"},{"family":"Taylor","given":"Fraser"},{"family":"Munn","given":"Elizabeth"},{"family":"Wu","given":"Jason HY."}],"issued":{"date-parts":[["2024",1,1]]}}}],"schema":"https://github.com/citation-style-language/schema/raw/master/csl-citation.json"} </w:instrText>
      </w:r>
      <w:r w:rsidR="009C0D3D">
        <w:rPr>
          <w:rFonts w:ascii="Times New Roman" w:eastAsia="Times New Roman" w:hAnsi="Times New Roman" w:cs="Times New Roman"/>
        </w:rPr>
        <w:fldChar w:fldCharType="separate"/>
      </w:r>
      <w:r w:rsidR="009C0D3D" w:rsidRPr="009C0D3D">
        <w:rPr>
          <w:rFonts w:ascii="Times New Roman" w:hAnsi="Times New Roman" w:cs="Times New Roman"/>
          <w:kern w:val="0"/>
          <w:vertAlign w:val="superscript"/>
        </w:rPr>
        <w:t>33</w:t>
      </w:r>
      <w:r w:rsidR="009C0D3D">
        <w:rPr>
          <w:rFonts w:ascii="Times New Roman" w:eastAsia="Times New Roman" w:hAnsi="Times New Roman" w:cs="Times New Roman"/>
        </w:rPr>
        <w:fldChar w:fldCharType="end"/>
      </w:r>
      <w:r>
        <w:rPr>
          <w:rFonts w:ascii="Times New Roman" w:eastAsia="Times New Roman" w:hAnsi="Times New Roman" w:cs="Times New Roman"/>
        </w:rPr>
        <w:t xml:space="preserve"> in diverse contexts, including correlating the NVS with essential nutrient biomarkers, </w:t>
      </w:r>
      <w:r w:rsidR="00C42B0B">
        <w:rPr>
          <w:rFonts w:ascii="Times New Roman" w:eastAsia="Times New Roman" w:hAnsi="Times New Roman" w:cs="Times New Roman"/>
        </w:rPr>
        <w:t xml:space="preserve">anemia, stunting, </w:t>
      </w:r>
      <w:r>
        <w:rPr>
          <w:rFonts w:ascii="Times New Roman" w:eastAsia="Times New Roman" w:hAnsi="Times New Roman" w:cs="Times New Roman"/>
        </w:rPr>
        <w:t xml:space="preserve">noncommunicable disease markers, and mortality. Validation using </w:t>
      </w:r>
      <w:r w:rsidR="00717802">
        <w:rPr>
          <w:rFonts w:ascii="Times New Roman" w:eastAsia="Times New Roman" w:hAnsi="Times New Roman" w:cs="Times New Roman"/>
        </w:rPr>
        <w:t>observational studies</w:t>
      </w:r>
      <w:r>
        <w:rPr>
          <w:rFonts w:ascii="Times New Roman" w:eastAsia="Times New Roman" w:hAnsi="Times New Roman" w:cs="Times New Roman"/>
        </w:rPr>
        <w:t>, however, is limited due to confounding and various forms of bias, which can be difficult or impossible to properly adjust for</w:t>
      </w:r>
      <w:r w:rsidR="00FB1506" w:rsidRPr="00F549CC">
        <w:rPr>
          <w:rFonts w:ascii="Times New Roman" w:hAnsi="Times New Roman" w:cs="Times New Roman"/>
        </w:rPr>
        <w:fldChar w:fldCharType="begin"/>
      </w:r>
      <w:r w:rsidR="009C0D3D">
        <w:rPr>
          <w:rFonts w:ascii="Times New Roman" w:hAnsi="Times New Roman" w:cs="Times New Roman"/>
        </w:rPr>
        <w:instrText xml:space="preserve"> ADDIN ZOTERO_ITEM CSL_CITATION {"citationID":"a1bpr59fkfs","properties":{"formattedCitation":"\\super 34\\nosupersub{}","plainCitation":"34","noteIndex":0},"citationItems":[{"id":4182,"uris":["http://zotero.org/users/2850877/items/L8U2E3M5"],"itemData":{"id":4182,"type":"article-journal","container-title":"Critical Reviews in Food Science and Nutrition","DOI":"10.1080/10408398.2021.1985427","ISSN":"1040-8398","issue":"18","note":"publisher: Taylor &amp; Francis","page":"3150-3167","source":"tandfonline.com (Atypon)","title":"Toward more rigorous and informative nutritional epidemiology: The rational space between dismissal and defense of the status quo","title-short":"Toward more rigorous and informative nutritional epidemiology","volume":"63","author":[{"family":"Brown","given":"Andrew W."},{"family":"Aslibekyan","given":"Stella"},{"family":"Bier","given":"Dennis"},{"family":"Ferreira da Silva","given":"Rafael"},{"family":"Hoover","given":"Adam"},{"family":"Klurfeld","given":"David M."},{"family":"Loken","given":"Eric"},{"family":"Mayo-Wilson","given":"Evan"},{"family":"Menachemi","given":"Nir"},{"family":"Pavela","given":"Greg"},{"family":"Quinn","given":"Patrick D."},{"family":"Schoeller","given":"Dale"},{"family":"Tekwe","given":"Carmen"},{"family":"Valdez","given":"Danny"},{"family":"Vorland","given":"Colby J."},{"family":"Whigham","given":"Leah D."},{"family":"Allison","given":"David B."}],"issued":{"date-parts":[["2023",7,15]]}}}],"schema":"https://github.com/citation-style-language/schema/raw/master/csl-citation.json"} </w:instrText>
      </w:r>
      <w:r w:rsidR="00FB1506" w:rsidRPr="00F549CC">
        <w:rPr>
          <w:rFonts w:ascii="Times New Roman" w:hAnsi="Times New Roman" w:cs="Times New Roman"/>
        </w:rPr>
        <w:fldChar w:fldCharType="separate"/>
      </w:r>
      <w:r w:rsidR="009C0D3D" w:rsidRPr="009C0D3D">
        <w:rPr>
          <w:rFonts w:ascii="Times New Roman" w:hAnsi="Times New Roman" w:cs="Times New Roman"/>
          <w:kern w:val="0"/>
          <w:vertAlign w:val="superscript"/>
        </w:rPr>
        <w:t>34</w:t>
      </w:r>
      <w:r w:rsidR="00FB1506" w:rsidRPr="00F549CC">
        <w:rPr>
          <w:rFonts w:ascii="Times New Roman" w:hAnsi="Times New Roman" w:cs="Times New Roman"/>
        </w:rPr>
        <w:fldChar w:fldCharType="end"/>
      </w:r>
      <w:r>
        <w:rPr>
          <w:rFonts w:ascii="Times New Roman" w:eastAsia="Times New Roman" w:hAnsi="Times New Roman" w:cs="Times New Roman"/>
        </w:rPr>
        <w:t>. Therefore, we recommend validating the NVS using</w:t>
      </w:r>
      <w:r w:rsidR="003402D0">
        <w:rPr>
          <w:rFonts w:ascii="Times New Roman" w:eastAsia="Times New Roman" w:hAnsi="Times New Roman" w:cs="Times New Roman"/>
        </w:rPr>
        <w:t xml:space="preserve"> a combination of criterion validation and</w:t>
      </w:r>
      <w:r>
        <w:rPr>
          <w:rFonts w:ascii="Times New Roman" w:eastAsia="Times New Roman" w:hAnsi="Times New Roman" w:cs="Times New Roman"/>
        </w:rPr>
        <w:t xml:space="preserve"> randomized controlled trials which, when designed appropriately, account for both known and unknown confounders.</w:t>
      </w:r>
    </w:p>
    <w:p w14:paraId="2D368591" w14:textId="77777777" w:rsidR="00C05F6D" w:rsidRDefault="00C05F6D">
      <w:pPr>
        <w:spacing w:line="480" w:lineRule="auto"/>
        <w:rPr>
          <w:rFonts w:ascii="Times New Roman" w:eastAsia="Times New Roman" w:hAnsi="Times New Roman" w:cs="Times New Roman"/>
        </w:rPr>
      </w:pPr>
    </w:p>
    <w:p w14:paraId="1FAEC752" w14:textId="5B5EED30" w:rsidR="00C05F6D" w:rsidRDefault="000D22B3" w:rsidP="00982E1B">
      <w:pPr>
        <w:spacing w:line="480" w:lineRule="auto"/>
        <w:rPr>
          <w:rFonts w:ascii="Times New Roman" w:eastAsia="Times New Roman" w:hAnsi="Times New Roman" w:cs="Times New Roman"/>
        </w:rPr>
      </w:pPr>
      <w:r>
        <w:rPr>
          <w:rFonts w:ascii="Times New Roman" w:eastAsia="Times New Roman" w:hAnsi="Times New Roman" w:cs="Times New Roman"/>
        </w:rPr>
        <w:t>The NVS has many strengths. It follows recommendations for developing nutrient profiling systems for global use</w:t>
      </w:r>
      <w:r w:rsidR="007D2129" w:rsidRPr="00F549CC">
        <w:rPr>
          <w:rFonts w:ascii="Times New Roman" w:hAnsi="Times New Roman" w:cs="Times New Roman"/>
        </w:rPr>
        <w:fldChar w:fldCharType="begin"/>
      </w:r>
      <w:r w:rsidR="007D2129" w:rsidRPr="00F549CC">
        <w:rPr>
          <w:rFonts w:ascii="Times New Roman" w:hAnsi="Times New Roman" w:cs="Times New Roman"/>
        </w:rPr>
        <w:instrText xml:space="preserve"> ADDIN ZOTERO_ITEM CSL_CITATION {"citationID":"o3nHytr5","properties":{"formattedCitation":"\\super 2\\nosupersub{}","plainCitation":"2","noteIndex":0},"citationItems":[{"id":3005,"uris":["http://zotero.org/users/2850877/items/6UBQ75H9"],"itemData":{"id":3005,"type":"article-journal","abstract":"Nutrient profiling (NP) models aim to assess the nutritional quality of individual foods, according to their energy content and nutrient composition. NP models, initially created to prevent obesity in high-income countries, have tended to penalize dietary energy by giving lower ratings to foods containing excessive calories, fat, sugar, and salt. Energy-driven NP models may need to be reconceptualized for use in low- and middle-income countries (LMIC) where hunger, undernutrition, and micronutrient deficiencies continue to be issues of public health concern. Consistent with the position of the WHO that the purpose of NP methods is to address an identified public health problem, NP models intended for use in LMIC ought to address inadequate intakes of vitamin A, B vitamins, folate, calcium, iron, iodine, and zinc and the frequent lack of high-quality protein. Those models of nutrient density that feature beneficial nutrients (high-quality protein, vitamins, minerals, and trace elements) may be better suited to LMIC needs than are some current NP models that are wholly based around nutrients to limit. NP models intended for LMIC and global use will also need to take food fortification into account. The challenge for LMIC public health agencies is how to balance the future risk of excess “empty” calories against the continuing danger of inadequate nutrients and micronutrient deficiencies that persist at the population level.","container-title":"Advances in Nutrition","DOI":"10.1093/advances/nmab018","ISSN":"2161-8313","issue":"3","journalAbbreviation":"Advances in Nutrition","page":"609-620","source":"Silverchair","title":"Perspective: How to Develop Nutrient Profiling Models Intended for Global Use: A Manual","title-short":"Perspective","volume":"12","author":[{"family":"Drewnowski","given":"Adam"},{"family":"Amanquah","given":"Daniel"},{"family":"Gavin-Smith","given":"Breda"}],"issued":{"date-parts":[["2021",5,1]]}}}],"schema":"https://github.com/citation-style-language/schema/raw/master/csl-citation.json"} </w:instrText>
      </w:r>
      <w:r w:rsidR="007D2129" w:rsidRPr="00F549CC">
        <w:rPr>
          <w:rFonts w:ascii="Times New Roman" w:hAnsi="Times New Roman" w:cs="Times New Roman"/>
        </w:rPr>
        <w:fldChar w:fldCharType="separate"/>
      </w:r>
      <w:r w:rsidR="007D2129" w:rsidRPr="00F549CC">
        <w:rPr>
          <w:rFonts w:ascii="Times New Roman" w:hAnsi="Times New Roman" w:cs="Times New Roman"/>
          <w:kern w:val="0"/>
          <w:vertAlign w:val="superscript"/>
        </w:rPr>
        <w:t>2</w:t>
      </w:r>
      <w:r w:rsidR="007D2129" w:rsidRPr="00F549CC">
        <w:rPr>
          <w:rFonts w:ascii="Times New Roman" w:hAnsi="Times New Roman" w:cs="Times New Roman"/>
        </w:rPr>
        <w:fldChar w:fldCharType="end"/>
      </w:r>
      <w:r>
        <w:rPr>
          <w:rFonts w:ascii="Times New Roman" w:eastAsia="Times New Roman" w:hAnsi="Times New Roman" w:cs="Times New Roman"/>
        </w:rPr>
        <w:t xml:space="preserve"> by solely using essential nutrients of global health priority</w:t>
      </w:r>
      <w:r w:rsidR="0098339C">
        <w:rPr>
          <w:rFonts w:ascii="Times New Roman" w:eastAsia="Times New Roman" w:hAnsi="Times New Roman" w:cs="Times New Roman"/>
        </w:rPr>
        <w:t xml:space="preserve"> (excluding nutrients of little public health significance)</w:t>
      </w:r>
      <w:r>
        <w:rPr>
          <w:rFonts w:ascii="Times New Roman" w:eastAsia="Times New Roman" w:hAnsi="Times New Roman" w:cs="Times New Roman"/>
        </w:rPr>
        <w:t xml:space="preserve">, analyzing locally available, commonly </w:t>
      </w:r>
      <w:r>
        <w:rPr>
          <w:rFonts w:ascii="Times New Roman" w:eastAsia="Times New Roman" w:hAnsi="Times New Roman" w:cs="Times New Roman"/>
        </w:rPr>
        <w:lastRenderedPageBreak/>
        <w:t>consumed foods</w:t>
      </w:r>
      <w:r w:rsidR="00686AF2">
        <w:rPr>
          <w:rFonts w:ascii="Times New Roman" w:eastAsia="Times New Roman" w:hAnsi="Times New Roman" w:cs="Times New Roman"/>
        </w:rPr>
        <w:t xml:space="preserve"> rather than foods </w:t>
      </w:r>
      <w:r w:rsidR="00DC5172">
        <w:rPr>
          <w:rFonts w:ascii="Times New Roman" w:eastAsia="Times New Roman" w:hAnsi="Times New Roman" w:cs="Times New Roman"/>
        </w:rPr>
        <w:t xml:space="preserve">popular </w:t>
      </w:r>
      <w:r w:rsidR="00686AF2">
        <w:rPr>
          <w:rFonts w:ascii="Times New Roman" w:eastAsia="Times New Roman" w:hAnsi="Times New Roman" w:cs="Times New Roman"/>
        </w:rPr>
        <w:t>in high-income countries</w:t>
      </w:r>
      <w:r>
        <w:rPr>
          <w:rFonts w:ascii="Times New Roman" w:eastAsia="Times New Roman" w:hAnsi="Times New Roman" w:cs="Times New Roman"/>
        </w:rPr>
        <w:t>, and offering flexibility for adaptation to country-specific contexts or populations. The NVS also uses nutrient ratios, which recent evidence suggests may identify noncommunicable disease risk more accurately than simply using limiting nutrients</w:t>
      </w:r>
      <w:r w:rsidR="005D3B5E" w:rsidRPr="00F549CC">
        <w:rPr>
          <w:rFonts w:ascii="Times New Roman" w:hAnsi="Times New Roman" w:cs="Times New Roman"/>
        </w:rPr>
        <w:fldChar w:fldCharType="begin"/>
      </w:r>
      <w:r w:rsidR="005D3B5E" w:rsidRPr="00F549CC">
        <w:rPr>
          <w:rFonts w:ascii="Times New Roman" w:hAnsi="Times New Roman" w:cs="Times New Roman"/>
        </w:rPr>
        <w:instrText xml:space="preserve"> ADDIN ZOTERO_ITEM CSL_CITATION {"citationID":"v8oSfvwk","properties":{"formattedCitation":"\\super 3\\nosupersub{}","plainCitation":"3","noteIndex":0},"citationItems":[{"id":3101,"uris":["http://zotero.org/users/2850877/items/YY2LRKJT"],"itemData":{"id":3101,"type":"article-journal","abstract":"Nutrient profiling systems (NPS) aim to discriminate the healthfulness of foods for front-of-package labelling, warning labels, taxation, company ratings and more. Existing NPS often assess relatively few nutrients and ingredients, use inconsistent criteria across food categories and have not incorporated the newest science. Here, we developed and validated an NPS, the Food Compass, to incorporate a broader range of food characteristics, attributes and uniform scoring principles. We scored 54 attributes across 9 health-relevant domains: nutrient ratios, vitamins, minerals, food ingredients, additives, processing, specific lipids, fibre and protein, and phytochemicals. The domain scores were summed into a final Food Compass Score (FCS) ranging from 1 (least healthy) to 100 (most healthy) for all foods and beverages. Content validity was confirmed by assessing nutrients, food ingredients and other characteristics of public health concern; face validity was confirmed by assessing the FCS for 8,032 foods and beverages reported in NHANES/FNDDS 2015–16; and convergent and discriminant validity was confirmed from comparisons with the NOVA food processing classification, the Health Star Rating and the Nutri-Score. The FCS differentiated food categories and food items well, with mean ± s.d. ranging from 16.4 ± 17.7 for savoury snacks and sweet desserts to 78.6 ± 17.4 for legumes, nuts and seeds. In many food categories, the FCS provided important discrimination of specific foods and beverages as compared with NOVA, the Health Star Rating or the Nutri-Score. On the basis of demonstrated content, convergent and discriminant validity, the Food Compass provides an NPS scoring a broader range of attributes and domains than previous systems with uniform and transparent principles. This publicly available tool will help guide consumer choice, research, food policy, industry reformulations and mission-focused investment decisions.","container-title":"Nature Food","DOI":"10.1038/s43016-021-00381-y","ISSN":"2662-1355","issue":"10","journalAbbreviation":"Nat Food","language":"en","license":"2021 The Author(s), under exclusive licence to Springer Nature Limited","note":"Bandiera_abtest: a\nCg_type: Nature Research Journals\nnumber: 10\nPrimary_atype: Research\npublisher: Nature Publishing Group\nSubject_term: Business;Risk factors\nSubject_term_id: business;risk-factors","page":"809-818","source":"www.nature.com","title":"Food Compass is a nutrient profiling system using expanded characteristics for assessing healthfulness of foods","volume":"2","author":[{"family":"Mozaffarian","given":"Dariush"},{"family":"El-Abbadi","given":"Naglaa H."},{"family":"O’Hearn","given":"Meghan"},{"family":"Erndt-Marino","given":"Josh"},{"family":"Masters","given":"William A."},{"family":"Jacques","given":"Paul"},{"family":"Shi","given":"Peilin"},{"family":"Blumberg","given":"Jeffrey B."},{"family":"Micha","given":"Renata"}],"issued":{"date-parts":[["2021",10]]}}}],"schema":"https://github.com/citation-style-language/schema/raw/master/csl-citation.json"} </w:instrText>
      </w:r>
      <w:r w:rsidR="005D3B5E" w:rsidRPr="00F549CC">
        <w:rPr>
          <w:rFonts w:ascii="Times New Roman" w:hAnsi="Times New Roman" w:cs="Times New Roman"/>
        </w:rPr>
        <w:fldChar w:fldCharType="separate"/>
      </w:r>
      <w:r w:rsidR="005D3B5E" w:rsidRPr="00F549CC">
        <w:rPr>
          <w:rFonts w:ascii="Times New Roman" w:hAnsi="Times New Roman" w:cs="Times New Roman"/>
          <w:kern w:val="0"/>
          <w:vertAlign w:val="superscript"/>
        </w:rPr>
        <w:t>3</w:t>
      </w:r>
      <w:r w:rsidR="005D3B5E" w:rsidRPr="00F549CC">
        <w:rPr>
          <w:rFonts w:ascii="Times New Roman" w:hAnsi="Times New Roman" w:cs="Times New Roman"/>
        </w:rPr>
        <w:fldChar w:fldCharType="end"/>
      </w:r>
      <w:r>
        <w:rPr>
          <w:rFonts w:ascii="Times New Roman" w:eastAsia="Times New Roman" w:hAnsi="Times New Roman" w:cs="Times New Roman"/>
        </w:rPr>
        <w:t>. Moreover, the NVS follows best practices for developing nutrient profiling systems for use in environmental impact assessments</w:t>
      </w:r>
      <w:r w:rsidR="00A37B88" w:rsidRPr="00F549CC">
        <w:rPr>
          <w:rFonts w:ascii="Times New Roman" w:hAnsi="Times New Roman" w:cs="Times New Roman"/>
        </w:rPr>
        <w:fldChar w:fldCharType="begin"/>
      </w:r>
      <w:r w:rsidR="007267F7">
        <w:rPr>
          <w:rFonts w:ascii="Times New Roman" w:hAnsi="Times New Roman" w:cs="Times New Roman"/>
        </w:rPr>
        <w:instrText xml:space="preserve"> ADDIN ZOTERO_ITEM CSL_CITATION {"citationID":"Wr325Cea","properties":{"formattedCitation":"\\super 10\\nosupersub{}","plainCitation":"10","noteIndex":0},"citationItems":[{"id":4131,"uris":["http://zotero.org/users/2850877/items/K2WWXD38"],"itemData":{"id":4131,"type":"article-journal","abstract":"To holistically assess the sustainability of our global and local food systems, we need methods that combine environmental and nutritional/health dimensions. One option is nutritional life cycle assessment in which a nutrient or health metric is incorporated into standard environmental life cycle assessment. Measuring nutritional and environmental outcomes in tandem can help elucidate new results that can aid farmers, policymakers, industry, and consumers in transitioning to a food system that is more beneficial for our planet and our health. However, the development of nutrient profiling metrics is still ongoing; thus, we develop and test, with case studies, the “points of differentiation” framework to guide the use of these algorithms in sustainability analyses.","container-title":"The International Journal of Life Cycle Assessment","DOI":"10.1007/s11367-023-02210-9","ISSN":"1614-7502","issue":"10","journalAbbreviation":"Int J Life Cycle Assess","language":"en","page":"1326-1347","source":"Springer Link","title":"A proposed framework to develop nutrient profiling algorithms for assessments of sustainable food: the metrics and their assumptions matter","title-short":"A proposed framework to develop nutrient profiling algorithms for assessments of sustainable food","volume":"28","author":[{"family":"Green","given":"Ashley"},{"family":"Nemecek","given":"Thomas"},{"family":"Mathys","given":"Alexander"}],"issued":{"date-parts":[["2023",10,1]]}}}],"schema":"https://github.com/citation-style-language/schema/raw/master/csl-citation.json"} </w:instrText>
      </w:r>
      <w:r w:rsidR="00A37B88" w:rsidRPr="00F549CC">
        <w:rPr>
          <w:rFonts w:ascii="Times New Roman" w:hAnsi="Times New Roman" w:cs="Times New Roman"/>
        </w:rPr>
        <w:fldChar w:fldCharType="separate"/>
      </w:r>
      <w:r w:rsidR="007267F7" w:rsidRPr="007267F7">
        <w:rPr>
          <w:rFonts w:ascii="Times New Roman" w:hAnsi="Times New Roman" w:cs="Times New Roman"/>
          <w:kern w:val="0"/>
          <w:vertAlign w:val="superscript"/>
        </w:rPr>
        <w:t>10</w:t>
      </w:r>
      <w:r w:rsidR="00A37B88" w:rsidRPr="00F549CC">
        <w:rPr>
          <w:rFonts w:ascii="Times New Roman" w:hAnsi="Times New Roman" w:cs="Times New Roman"/>
        </w:rPr>
        <w:fldChar w:fldCharType="end"/>
      </w:r>
      <w:r>
        <w:rPr>
          <w:rFonts w:ascii="Times New Roman" w:eastAsia="Times New Roman" w:hAnsi="Times New Roman" w:cs="Times New Roman"/>
        </w:rPr>
        <w:t xml:space="preserve">. Further, the NVS assesses the quantity </w:t>
      </w:r>
      <w:r>
        <w:rPr>
          <w:rFonts w:ascii="Times New Roman" w:eastAsia="Times New Roman" w:hAnsi="Times New Roman" w:cs="Times New Roman"/>
          <w:i/>
        </w:rPr>
        <w:t>and</w:t>
      </w:r>
      <w:r>
        <w:rPr>
          <w:rFonts w:ascii="Times New Roman" w:eastAsia="Times New Roman" w:hAnsi="Times New Roman" w:cs="Times New Roman"/>
        </w:rPr>
        <w:t xml:space="preserve"> quality of essential micronutrients and macronutrients, including adjustments for nutrient bioavailability. Importantly, the NVS quantifies nutrient density in terms of mass </w:t>
      </w:r>
      <w:r>
        <w:rPr>
          <w:rFonts w:ascii="Times New Roman" w:eastAsia="Times New Roman" w:hAnsi="Times New Roman" w:cs="Times New Roman"/>
          <w:i/>
        </w:rPr>
        <w:t>and</w:t>
      </w:r>
      <w:r>
        <w:rPr>
          <w:rFonts w:ascii="Times New Roman" w:eastAsia="Times New Roman" w:hAnsi="Times New Roman" w:cs="Times New Roman"/>
        </w:rPr>
        <w:t xml:space="preserve"> energy, which ensures foods are not unfairly penalized or benefited for having low or high Calorie density. Finally, the NVS offers nutritional component scores to provide more granular insights for researchers, policy makers, and program managers. These strengths make the NVS more suitable than existing systems for </w:t>
      </w:r>
      <w:r w:rsidR="00982E1B">
        <w:rPr>
          <w:rFonts w:ascii="Times New Roman" w:eastAsia="Times New Roman" w:hAnsi="Times New Roman" w:cs="Times New Roman"/>
        </w:rPr>
        <w:t>discriminating between foods</w:t>
      </w:r>
      <w:r w:rsidR="006837E8">
        <w:rPr>
          <w:rFonts w:ascii="Times New Roman" w:eastAsia="Times New Roman" w:hAnsi="Times New Roman" w:cs="Times New Roman"/>
        </w:rPr>
        <w:t xml:space="preserve"> and food </w:t>
      </w:r>
      <w:r w:rsidR="00DD380E">
        <w:rPr>
          <w:rFonts w:ascii="Times New Roman" w:eastAsia="Times New Roman" w:hAnsi="Times New Roman" w:cs="Times New Roman"/>
        </w:rPr>
        <w:t>groups</w:t>
      </w:r>
      <w:r w:rsidR="00982E1B">
        <w:rPr>
          <w:rFonts w:ascii="Times New Roman" w:eastAsia="Times New Roman" w:hAnsi="Times New Roman" w:cs="Times New Roman"/>
        </w:rPr>
        <w:t xml:space="preserve"> recommended in dietary guidelines in</w:t>
      </w:r>
      <w:r>
        <w:rPr>
          <w:rFonts w:ascii="Times New Roman" w:eastAsia="Times New Roman" w:hAnsi="Times New Roman" w:cs="Times New Roman"/>
        </w:rPr>
        <w:t xml:space="preserve"> low- and middle-income countries.</w:t>
      </w:r>
    </w:p>
    <w:p w14:paraId="0F215EBF" w14:textId="77777777" w:rsidR="00C05F6D" w:rsidRDefault="00C05F6D">
      <w:pPr>
        <w:spacing w:line="480" w:lineRule="auto"/>
        <w:rPr>
          <w:rFonts w:ascii="Times New Roman" w:eastAsia="Times New Roman" w:hAnsi="Times New Roman" w:cs="Times New Roman"/>
        </w:rPr>
      </w:pPr>
    </w:p>
    <w:p w14:paraId="0E3C8395" w14:textId="34C3A0D0"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NVS also has </w:t>
      </w:r>
      <w:r w:rsidR="00596DAB">
        <w:rPr>
          <w:rFonts w:ascii="Times New Roman" w:eastAsia="Times New Roman" w:hAnsi="Times New Roman" w:cs="Times New Roman"/>
        </w:rPr>
        <w:t xml:space="preserve">important </w:t>
      </w:r>
      <w:r>
        <w:rPr>
          <w:rFonts w:ascii="Times New Roman" w:eastAsia="Times New Roman" w:hAnsi="Times New Roman" w:cs="Times New Roman"/>
        </w:rPr>
        <w:t>limitations. It was developed for foods recommended in global dietary guidelines. If the NVS is to be used across a broader range of foods, including those not recommended in dietary guidelines, it may need to be adapted.</w:t>
      </w:r>
      <w:r w:rsidR="00596DAB">
        <w:rPr>
          <w:rFonts w:ascii="Times New Roman" w:eastAsia="Times New Roman" w:hAnsi="Times New Roman" w:cs="Times New Roman"/>
        </w:rPr>
        <w:t xml:space="preserve"> This is particularly important, as diets worldwide are rapidly increasing in unhealthy ultraprocessed foods.</w:t>
      </w:r>
      <w:r>
        <w:rPr>
          <w:rFonts w:ascii="Times New Roman" w:eastAsia="Times New Roman" w:hAnsi="Times New Roman" w:cs="Times New Roman"/>
        </w:rPr>
        <w:t xml:space="preserve"> Additionally, while many bioactive compounds have health benefits, we did not include them as a dietary attribute because food composition data only exists for certain phytochemicals highest in plant source foods and not bioactive compounds unique to animal source foods. We chose to exclude phytochemicals to avoid biasing the bioactive compound attribute against animal source foods. We also were unable to include dietary attributes related to fermented foods, since food composition data indicating beneficial microorganisms is lacking. </w:t>
      </w:r>
      <w:r w:rsidR="008B3442">
        <w:rPr>
          <w:rFonts w:ascii="Times New Roman" w:eastAsia="Times New Roman" w:hAnsi="Times New Roman" w:cs="Times New Roman"/>
        </w:rPr>
        <w:t>Furthermore, g</w:t>
      </w:r>
      <w:r w:rsidR="00406633">
        <w:rPr>
          <w:rFonts w:ascii="Times New Roman" w:eastAsia="Times New Roman" w:hAnsi="Times New Roman" w:cs="Times New Roman"/>
        </w:rPr>
        <w:t xml:space="preserve">iven </w:t>
      </w:r>
      <w:r w:rsidR="00DA225E">
        <w:rPr>
          <w:rFonts w:ascii="Times New Roman" w:eastAsia="Times New Roman" w:hAnsi="Times New Roman" w:cs="Times New Roman"/>
        </w:rPr>
        <w:t xml:space="preserve">that national food composition tables </w:t>
      </w:r>
      <w:r w:rsidR="000D3870">
        <w:rPr>
          <w:rFonts w:ascii="Times New Roman" w:eastAsia="Times New Roman" w:hAnsi="Times New Roman" w:cs="Times New Roman"/>
        </w:rPr>
        <w:t>for</w:t>
      </w:r>
      <w:r w:rsidR="00E32283">
        <w:rPr>
          <w:rFonts w:ascii="Times New Roman" w:eastAsia="Times New Roman" w:hAnsi="Times New Roman" w:cs="Times New Roman"/>
        </w:rPr>
        <w:t xml:space="preserve"> Indonesia and </w:t>
      </w:r>
      <w:r w:rsidR="00E32283">
        <w:rPr>
          <w:rFonts w:ascii="Times New Roman" w:eastAsia="Times New Roman" w:hAnsi="Times New Roman" w:cs="Times New Roman"/>
        </w:rPr>
        <w:lastRenderedPageBreak/>
        <w:t xml:space="preserve">Bangladesh </w:t>
      </w:r>
      <w:r w:rsidR="00657D68">
        <w:rPr>
          <w:rFonts w:ascii="Times New Roman" w:eastAsia="Times New Roman" w:hAnsi="Times New Roman" w:cs="Times New Roman"/>
        </w:rPr>
        <w:t xml:space="preserve">include a limited set of foods </w:t>
      </w:r>
      <w:r w:rsidR="000D3870">
        <w:rPr>
          <w:rFonts w:ascii="Times New Roman" w:eastAsia="Times New Roman" w:hAnsi="Times New Roman" w:cs="Times New Roman"/>
        </w:rPr>
        <w:t>and nutrients</w:t>
      </w:r>
      <w:r w:rsidR="00BB2104">
        <w:rPr>
          <w:rFonts w:ascii="Times New Roman" w:eastAsia="Times New Roman" w:hAnsi="Times New Roman" w:cs="Times New Roman"/>
        </w:rPr>
        <w:t xml:space="preserve">, </w:t>
      </w:r>
      <w:r w:rsidR="007F55EB">
        <w:rPr>
          <w:rFonts w:ascii="Times New Roman" w:eastAsia="Times New Roman" w:hAnsi="Times New Roman" w:cs="Times New Roman"/>
        </w:rPr>
        <w:t xml:space="preserve">which </w:t>
      </w:r>
      <w:r w:rsidR="00F83C7E">
        <w:rPr>
          <w:rFonts w:ascii="Times New Roman" w:eastAsia="Times New Roman" w:hAnsi="Times New Roman" w:cs="Times New Roman"/>
        </w:rPr>
        <w:t xml:space="preserve">was </w:t>
      </w:r>
      <w:r w:rsidR="00BB2104">
        <w:rPr>
          <w:rFonts w:ascii="Times New Roman" w:eastAsia="Times New Roman" w:hAnsi="Times New Roman" w:cs="Times New Roman"/>
        </w:rPr>
        <w:t xml:space="preserve">insufficient to apply </w:t>
      </w:r>
      <w:r w:rsidR="00BD76B1">
        <w:rPr>
          <w:rFonts w:ascii="Times New Roman" w:eastAsia="Times New Roman" w:hAnsi="Times New Roman" w:cs="Times New Roman"/>
        </w:rPr>
        <w:t>the NVS a</w:t>
      </w:r>
      <w:r w:rsidR="004F1C9B">
        <w:rPr>
          <w:rFonts w:ascii="Times New Roman" w:eastAsia="Times New Roman" w:hAnsi="Times New Roman" w:cs="Times New Roman"/>
        </w:rPr>
        <w:t>lgorithm</w:t>
      </w:r>
      <w:r w:rsidR="00BD76B1">
        <w:rPr>
          <w:rFonts w:ascii="Times New Roman" w:eastAsia="Times New Roman" w:hAnsi="Times New Roman" w:cs="Times New Roman"/>
        </w:rPr>
        <w:t xml:space="preserve">, </w:t>
      </w:r>
      <w:r w:rsidR="002E4C30">
        <w:rPr>
          <w:rFonts w:ascii="Times New Roman" w:eastAsia="Times New Roman" w:hAnsi="Times New Roman" w:cs="Times New Roman"/>
        </w:rPr>
        <w:t xml:space="preserve">we </w:t>
      </w:r>
      <w:r w:rsidR="00BA3EB0">
        <w:rPr>
          <w:rFonts w:ascii="Times New Roman" w:eastAsia="Times New Roman" w:hAnsi="Times New Roman" w:cs="Times New Roman"/>
        </w:rPr>
        <w:t xml:space="preserve">relied </w:t>
      </w:r>
      <w:r>
        <w:rPr>
          <w:rFonts w:ascii="Times New Roman" w:eastAsia="Times New Roman" w:hAnsi="Times New Roman" w:cs="Times New Roman"/>
        </w:rPr>
        <w:t>on USDA data</w:t>
      </w:r>
      <w:r w:rsidR="004B6300">
        <w:rPr>
          <w:rFonts w:ascii="Times New Roman" w:eastAsia="Times New Roman" w:hAnsi="Times New Roman" w:cs="Times New Roman"/>
        </w:rPr>
        <w:t>bases</w:t>
      </w:r>
      <w:r>
        <w:rPr>
          <w:rFonts w:ascii="Times New Roman" w:eastAsia="Times New Roman" w:hAnsi="Times New Roman" w:cs="Times New Roman"/>
        </w:rPr>
        <w:t xml:space="preserve"> for </w:t>
      </w:r>
      <w:r w:rsidR="00BA3EB0">
        <w:rPr>
          <w:rFonts w:ascii="Times New Roman" w:eastAsia="Times New Roman" w:hAnsi="Times New Roman" w:cs="Times New Roman"/>
        </w:rPr>
        <w:t>most</w:t>
      </w:r>
      <w:r>
        <w:rPr>
          <w:rFonts w:ascii="Times New Roman" w:eastAsia="Times New Roman" w:hAnsi="Times New Roman" w:cs="Times New Roman"/>
        </w:rPr>
        <w:t xml:space="preserve"> </w:t>
      </w:r>
      <w:r w:rsidR="00BA3EB0">
        <w:rPr>
          <w:rFonts w:ascii="Times New Roman" w:eastAsia="Times New Roman" w:hAnsi="Times New Roman" w:cs="Times New Roman"/>
        </w:rPr>
        <w:t xml:space="preserve">foods and </w:t>
      </w:r>
      <w:r>
        <w:rPr>
          <w:rFonts w:ascii="Times New Roman" w:eastAsia="Times New Roman" w:hAnsi="Times New Roman" w:cs="Times New Roman"/>
        </w:rPr>
        <w:t>dietary attributes</w:t>
      </w:r>
      <w:r w:rsidR="004B6300">
        <w:rPr>
          <w:rFonts w:ascii="Times New Roman" w:eastAsia="Times New Roman" w:hAnsi="Times New Roman" w:cs="Times New Roman"/>
        </w:rPr>
        <w:t>.</w:t>
      </w:r>
      <w:r>
        <w:rPr>
          <w:rFonts w:ascii="Times New Roman" w:eastAsia="Times New Roman" w:hAnsi="Times New Roman" w:cs="Times New Roman"/>
        </w:rPr>
        <w:t xml:space="preserve"> </w:t>
      </w:r>
      <w:r w:rsidR="004B6300">
        <w:rPr>
          <w:rFonts w:ascii="Times New Roman" w:eastAsia="Times New Roman" w:hAnsi="Times New Roman" w:cs="Times New Roman"/>
        </w:rPr>
        <w:t xml:space="preserve">This </w:t>
      </w:r>
      <w:r w:rsidR="001846BA">
        <w:rPr>
          <w:rFonts w:ascii="Times New Roman" w:eastAsia="Times New Roman" w:hAnsi="Times New Roman" w:cs="Times New Roman"/>
        </w:rPr>
        <w:t xml:space="preserve">necessary choice </w:t>
      </w:r>
      <w:r>
        <w:rPr>
          <w:rFonts w:ascii="Times New Roman" w:eastAsia="Times New Roman" w:hAnsi="Times New Roman" w:cs="Times New Roman"/>
        </w:rPr>
        <w:t xml:space="preserve">may </w:t>
      </w:r>
      <w:r w:rsidR="004F1C9B">
        <w:rPr>
          <w:rFonts w:ascii="Times New Roman" w:eastAsia="Times New Roman" w:hAnsi="Times New Roman" w:cs="Times New Roman"/>
        </w:rPr>
        <w:t>have led</w:t>
      </w:r>
      <w:r>
        <w:rPr>
          <w:rFonts w:ascii="Times New Roman" w:eastAsia="Times New Roman" w:hAnsi="Times New Roman" w:cs="Times New Roman"/>
        </w:rPr>
        <w:t xml:space="preserve"> to neglecting important differences in varieties, production methods, soil conditions, and culinary traditions that exist between the US and </w:t>
      </w:r>
      <w:r w:rsidR="00D3026F">
        <w:rPr>
          <w:rFonts w:ascii="Times New Roman" w:eastAsia="Times New Roman" w:hAnsi="Times New Roman" w:cs="Times New Roman"/>
        </w:rPr>
        <w:t>Indonesia and Bangladesh</w:t>
      </w:r>
      <w:r>
        <w:rPr>
          <w:rFonts w:ascii="Times New Roman" w:eastAsia="Times New Roman" w:hAnsi="Times New Roman" w:cs="Times New Roman"/>
        </w:rPr>
        <w:t>. Finally, we assessed the NVS for content validity</w:t>
      </w:r>
      <w:r w:rsidR="004333C7">
        <w:rPr>
          <w:rFonts w:ascii="Times New Roman" w:eastAsia="Times New Roman" w:hAnsi="Times New Roman" w:cs="Times New Roman"/>
        </w:rPr>
        <w:t>,</w:t>
      </w:r>
      <w:r>
        <w:rPr>
          <w:rFonts w:ascii="Times New Roman" w:eastAsia="Times New Roman" w:hAnsi="Times New Roman" w:cs="Times New Roman"/>
        </w:rPr>
        <w:t xml:space="preserve"> face validity,</w:t>
      </w:r>
      <w:r w:rsidR="004333C7">
        <w:rPr>
          <w:rFonts w:ascii="Times New Roman" w:eastAsia="Times New Roman" w:hAnsi="Times New Roman" w:cs="Times New Roman"/>
        </w:rPr>
        <w:t xml:space="preserve"> and convergent validity,</w:t>
      </w:r>
      <w:r>
        <w:rPr>
          <w:rFonts w:ascii="Times New Roman" w:eastAsia="Times New Roman" w:hAnsi="Times New Roman" w:cs="Times New Roman"/>
        </w:rPr>
        <w:t xml:space="preserve"> but it has not yet been assessed for </w:t>
      </w:r>
      <w:r w:rsidR="006E3C8C">
        <w:rPr>
          <w:rFonts w:ascii="Times New Roman" w:eastAsia="Times New Roman" w:hAnsi="Times New Roman" w:cs="Times New Roman"/>
        </w:rPr>
        <w:t>discriminant</w:t>
      </w:r>
      <w:r w:rsidR="004333C7">
        <w:rPr>
          <w:rFonts w:ascii="Times New Roman" w:eastAsia="Times New Roman" w:hAnsi="Times New Roman" w:cs="Times New Roman"/>
        </w:rPr>
        <w:t xml:space="preserve"> </w:t>
      </w:r>
      <w:r>
        <w:rPr>
          <w:rFonts w:ascii="Times New Roman" w:eastAsia="Times New Roman" w:hAnsi="Times New Roman" w:cs="Times New Roman"/>
        </w:rPr>
        <w:t xml:space="preserve">or criterion validity. Future studies could adapt the NVS for broader applications and </w:t>
      </w:r>
      <w:r w:rsidR="009A3E3F">
        <w:rPr>
          <w:rFonts w:ascii="Times New Roman" w:eastAsia="Times New Roman" w:hAnsi="Times New Roman" w:cs="Times New Roman"/>
        </w:rPr>
        <w:t xml:space="preserve">further </w:t>
      </w:r>
      <w:r>
        <w:rPr>
          <w:rFonts w:ascii="Times New Roman" w:eastAsia="Times New Roman" w:hAnsi="Times New Roman" w:cs="Times New Roman"/>
        </w:rPr>
        <w:t>assess its validity.</w:t>
      </w:r>
    </w:p>
    <w:p w14:paraId="42909577" w14:textId="77777777" w:rsidR="00C05F6D" w:rsidRDefault="00C05F6D">
      <w:pPr>
        <w:spacing w:line="480" w:lineRule="auto"/>
        <w:rPr>
          <w:rFonts w:ascii="Times New Roman" w:eastAsia="Times New Roman" w:hAnsi="Times New Roman" w:cs="Times New Roman"/>
        </w:rPr>
      </w:pPr>
    </w:p>
    <w:p w14:paraId="6A249D55" w14:textId="3BB6676E" w:rsidR="00CE67F6"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NVS provides a </w:t>
      </w:r>
      <w:r w:rsidR="00E8781E">
        <w:rPr>
          <w:rFonts w:ascii="Times New Roman" w:eastAsia="Times New Roman" w:hAnsi="Times New Roman" w:cs="Times New Roman"/>
        </w:rPr>
        <w:t xml:space="preserve">holistic </w:t>
      </w:r>
      <w:r>
        <w:rPr>
          <w:rFonts w:ascii="Times New Roman" w:eastAsia="Times New Roman" w:hAnsi="Times New Roman" w:cs="Times New Roman"/>
        </w:rPr>
        <w:t>metric to assess and compare the overall nutritional value of foods and specific nutritional components of interest, like micronutrients and essential amino acids. It captures multiple dietary components critical for global health and has many unique features that make it suitable for global applications. The NVS can be used to help policy</w:t>
      </w:r>
      <w:r w:rsidR="00B61D46">
        <w:rPr>
          <w:rFonts w:ascii="Times New Roman" w:eastAsia="Times New Roman" w:hAnsi="Times New Roman" w:cs="Times New Roman"/>
        </w:rPr>
        <w:t xml:space="preserve"> </w:t>
      </w:r>
      <w:r>
        <w:rPr>
          <w:rFonts w:ascii="Times New Roman" w:eastAsia="Times New Roman" w:hAnsi="Times New Roman" w:cs="Times New Roman"/>
        </w:rPr>
        <w:t>makers and program implementers identify nutritious foods to prioritize for the greatest health impacts. Additionally, using the NVS as a functional unit could allow for more nutritionally equivalent comparisons in environmental impact and affordability assessments of foods. Further adaptations for a broader set of foods and validation studies are warranted, but the NVS shows promise for a range of applications to advance healthy and sustainable food systems.</w:t>
      </w:r>
    </w:p>
    <w:p w14:paraId="22F35010" w14:textId="77777777" w:rsidR="00CE67F6" w:rsidRDefault="00CE67F6">
      <w:pPr>
        <w:spacing w:line="480" w:lineRule="auto"/>
        <w:rPr>
          <w:rFonts w:ascii="Times New Roman" w:eastAsia="Times New Roman" w:hAnsi="Times New Roman" w:cs="Times New Roman"/>
        </w:rPr>
      </w:pPr>
    </w:p>
    <w:p w14:paraId="3F53E0E8" w14:textId="6714C5C0" w:rsidR="00C05F6D" w:rsidRPr="00B02E0D" w:rsidRDefault="000D22B3">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Methods</w:t>
      </w:r>
    </w:p>
    <w:p w14:paraId="0FE80B76" w14:textId="77777777" w:rsidR="00C05F6D" w:rsidRDefault="000D22B3">
      <w:pPr>
        <w:spacing w:line="480" w:lineRule="auto"/>
        <w:rPr>
          <w:rFonts w:ascii="Times New Roman" w:eastAsia="Times New Roman" w:hAnsi="Times New Roman" w:cs="Times New Roman"/>
          <w:b/>
        </w:rPr>
      </w:pPr>
      <w:r>
        <w:rPr>
          <w:rFonts w:ascii="Times New Roman" w:eastAsia="Times New Roman" w:hAnsi="Times New Roman" w:cs="Times New Roman"/>
          <w:b/>
        </w:rPr>
        <w:t>Nutritional Value Score</w:t>
      </w:r>
    </w:p>
    <w:p w14:paraId="540C65EA" w14:textId="0142F132" w:rsidR="00C05F6D" w:rsidRDefault="000D22B3">
      <w:pPr>
        <w:pBdr>
          <w:top w:val="nil"/>
          <w:left w:val="nil"/>
          <w:bottom w:val="nil"/>
          <w:right w:val="nil"/>
          <w:between w:val="nil"/>
        </w:pBdr>
        <w:tabs>
          <w:tab w:val="left" w:pos="260"/>
        </w:tabs>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NVS aims to capture the variation in nutritional value across </w:t>
      </w:r>
      <w:r w:rsidR="00A15978">
        <w:rPr>
          <w:rFonts w:ascii="Times New Roman" w:eastAsia="Times New Roman" w:hAnsi="Times New Roman" w:cs="Times New Roman"/>
          <w:color w:val="000000"/>
        </w:rPr>
        <w:t xml:space="preserve">unprocessed, </w:t>
      </w:r>
      <w:r w:rsidR="00C25452">
        <w:rPr>
          <w:rFonts w:ascii="Times New Roman" w:eastAsia="Times New Roman" w:hAnsi="Times New Roman" w:cs="Times New Roman"/>
          <w:color w:val="000000"/>
        </w:rPr>
        <w:t>minimally</w:t>
      </w:r>
      <w:r w:rsidR="00550AE2">
        <w:rPr>
          <w:rFonts w:ascii="Times New Roman" w:eastAsia="Times New Roman" w:hAnsi="Times New Roman" w:cs="Times New Roman"/>
          <w:color w:val="000000"/>
        </w:rPr>
        <w:t xml:space="preserve"> processed,</w:t>
      </w:r>
      <w:r w:rsidR="00C25452">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processed foods recommended in global dietary </w:t>
      </w:r>
      <w:r>
        <w:rPr>
          <w:rFonts w:ascii="Times New Roman" w:eastAsia="Times New Roman" w:hAnsi="Times New Roman" w:cs="Times New Roman"/>
        </w:rPr>
        <w:t>guidelines</w:t>
      </w:r>
      <w:r>
        <w:rPr>
          <w:rFonts w:ascii="Times New Roman" w:eastAsia="Times New Roman" w:hAnsi="Times New Roman" w:cs="Times New Roman"/>
          <w:color w:val="000000"/>
        </w:rPr>
        <w:t>, including fruits; vegetables; legumes, nuts, and seeds; animal</w:t>
      </w:r>
      <w:r w:rsidR="007E29C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source foods; and starchy staple foods. The NVS assesses the quantity and quality of essential nutrients as well as other dietary attributes </w:t>
      </w:r>
      <w:r>
        <w:rPr>
          <w:rFonts w:ascii="Times New Roman" w:eastAsia="Times New Roman" w:hAnsi="Times New Roman" w:cs="Times New Roman"/>
          <w:color w:val="000000"/>
        </w:rPr>
        <w:lastRenderedPageBreak/>
        <w:t>that protect against noncommunicable diseases. It is scaled</w:t>
      </w:r>
      <w:r w:rsidR="007831A7">
        <w:rPr>
          <w:rFonts w:ascii="Times New Roman" w:eastAsia="Times New Roman" w:hAnsi="Times New Roman" w:cs="Times New Roman"/>
          <w:color w:val="000000"/>
        </w:rPr>
        <w:t xml:space="preserve"> (normalized)</w:t>
      </w:r>
      <w:r>
        <w:rPr>
          <w:rFonts w:ascii="Times New Roman" w:eastAsia="Times New Roman" w:hAnsi="Times New Roman" w:cs="Times New Roman"/>
          <w:color w:val="000000"/>
        </w:rPr>
        <w:t xml:space="preserve"> from 1 </w:t>
      </w:r>
      <w:r w:rsidR="007B5285">
        <w:rPr>
          <w:rFonts w:ascii="Times New Roman" w:eastAsia="Times New Roman" w:hAnsi="Times New Roman" w:cs="Times New Roman"/>
          <w:color w:val="000000"/>
        </w:rPr>
        <w:t>to</w:t>
      </w:r>
      <w:r>
        <w:rPr>
          <w:rFonts w:ascii="Times New Roman" w:eastAsia="Times New Roman" w:hAnsi="Times New Roman" w:cs="Times New Roman"/>
          <w:color w:val="000000"/>
        </w:rPr>
        <w:t xml:space="preserve"> 100, where 1 is the food with the lowest nutritional value and 100 is the food with the highest.</w:t>
      </w:r>
      <w:r w:rsidR="007B7433">
        <w:rPr>
          <w:rFonts w:ascii="Times New Roman" w:eastAsia="Times New Roman" w:hAnsi="Times New Roman" w:cs="Times New Roman"/>
          <w:color w:val="000000"/>
        </w:rPr>
        <w:t xml:space="preserve"> We scaled the NVS across </w:t>
      </w:r>
      <w:r w:rsidR="007831A7">
        <w:rPr>
          <w:rFonts w:ascii="Times New Roman" w:eastAsia="Times New Roman" w:hAnsi="Times New Roman" w:cs="Times New Roman"/>
          <w:color w:val="000000"/>
        </w:rPr>
        <w:t xml:space="preserve">170 </w:t>
      </w:r>
      <w:r w:rsidR="00041A65">
        <w:rPr>
          <w:rFonts w:ascii="Times New Roman" w:eastAsia="Times New Roman" w:hAnsi="Times New Roman" w:cs="Times New Roman"/>
          <w:color w:val="000000"/>
        </w:rPr>
        <w:t xml:space="preserve">total </w:t>
      </w:r>
      <w:r w:rsidR="007831A7">
        <w:rPr>
          <w:rFonts w:ascii="Times New Roman" w:eastAsia="Times New Roman" w:hAnsi="Times New Roman" w:cs="Times New Roman"/>
          <w:color w:val="000000"/>
        </w:rPr>
        <w:t>foods</w:t>
      </w:r>
      <w:r w:rsidR="00041A65">
        <w:rPr>
          <w:rFonts w:ascii="Times New Roman" w:eastAsia="Times New Roman" w:hAnsi="Times New Roman" w:cs="Times New Roman"/>
          <w:color w:val="000000"/>
        </w:rPr>
        <w:t xml:space="preserve"> (127 unique foods)</w:t>
      </w:r>
      <w:r w:rsidR="007831A7">
        <w:rPr>
          <w:rFonts w:ascii="Times New Roman" w:eastAsia="Times New Roman" w:hAnsi="Times New Roman" w:cs="Times New Roman"/>
          <w:color w:val="000000"/>
        </w:rPr>
        <w:t xml:space="preserve"> in Indonesia and Bangladesh, but future studies could </w:t>
      </w:r>
      <w:r w:rsidR="00241C1E">
        <w:rPr>
          <w:rFonts w:ascii="Times New Roman" w:eastAsia="Times New Roman" w:hAnsi="Times New Roman" w:cs="Times New Roman"/>
          <w:color w:val="000000"/>
        </w:rPr>
        <w:t>scale the NVS across a broader set of foods in different countries</w:t>
      </w:r>
      <w:r w:rsidR="004E2425">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2D0ECF">
        <w:rPr>
          <w:rFonts w:ascii="Times New Roman" w:eastAsia="Times New Roman" w:hAnsi="Times New Roman" w:cs="Times New Roman"/>
          <w:color w:val="000000"/>
        </w:rPr>
        <w:t>g</w:t>
      </w:r>
      <w:r>
        <w:rPr>
          <w:rFonts w:ascii="Times New Roman" w:eastAsia="Times New Roman" w:hAnsi="Times New Roman" w:cs="Times New Roman"/>
          <w:color w:val="000000"/>
        </w:rPr>
        <w:t xml:space="preserve"> minerals (2</w:t>
      </w:r>
      <w:r w:rsidR="0006253C">
        <w:rPr>
          <w:rFonts w:ascii="Times New Roman" w:eastAsia="Times New Roman" w:hAnsi="Times New Roman" w:cs="Times New Roman"/>
          <w:color w:val="000000"/>
        </w:rPr>
        <w:t>0</w:t>
      </w:r>
      <w:r>
        <w:rPr>
          <w:rFonts w:ascii="Times New Roman" w:eastAsia="Times New Roman" w:hAnsi="Times New Roman" w:cs="Times New Roman"/>
          <w:color w:val="000000"/>
        </w:rPr>
        <w:t>%), essential amino acids (</w:t>
      </w:r>
      <w:r w:rsidR="0006253C">
        <w:rPr>
          <w:rFonts w:ascii="Times New Roman" w:eastAsia="Times New Roman" w:hAnsi="Times New Roman" w:cs="Times New Roman"/>
          <w:color w:val="000000"/>
        </w:rPr>
        <w:t>12.5</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n-</w:t>
      </w:r>
      <w:r>
        <w:rPr>
          <w:rFonts w:ascii="Times New Roman" w:eastAsia="Times New Roman" w:hAnsi="Times New Roman" w:cs="Times New Roman"/>
          <w:color w:val="000000"/>
        </w:rPr>
        <w:t>3 fatty acids (10%), fiber (</w:t>
      </w:r>
      <w:r w:rsidR="0056626D">
        <w:rPr>
          <w:rFonts w:ascii="Times New Roman" w:eastAsia="Times New Roman" w:hAnsi="Times New Roman" w:cs="Times New Roman"/>
          <w:color w:val="000000"/>
        </w:rPr>
        <w:t>7.</w:t>
      </w:r>
      <w:r>
        <w:rPr>
          <w:rFonts w:ascii="Times New Roman" w:eastAsia="Times New Roman" w:hAnsi="Times New Roman" w:cs="Times New Roman"/>
          <w:color w:val="000000"/>
        </w:rPr>
        <w:t>5%),</w:t>
      </w:r>
      <w:r w:rsidR="00D733A5">
        <w:rPr>
          <w:rFonts w:ascii="Times New Roman" w:eastAsia="Times New Roman" w:hAnsi="Times New Roman" w:cs="Times New Roman"/>
          <w:color w:val="000000"/>
        </w:rPr>
        <w:t xml:space="preserve"> </w:t>
      </w:r>
      <w:r w:rsidR="007E29CF">
        <w:rPr>
          <w:rFonts w:ascii="Times New Roman" w:eastAsia="Times New Roman" w:hAnsi="Times New Roman" w:cs="Times New Roman"/>
          <w:color w:val="000000"/>
        </w:rPr>
        <w:t>C</w:t>
      </w:r>
      <w:r w:rsidR="00D733A5">
        <w:rPr>
          <w:rFonts w:ascii="Times New Roman" w:eastAsia="Times New Roman" w:hAnsi="Times New Roman" w:cs="Times New Roman"/>
          <w:color w:val="000000"/>
        </w:rPr>
        <w:t>alories (7.5%),</w:t>
      </w:r>
      <w:r>
        <w:rPr>
          <w:rFonts w:ascii="Times New Roman" w:eastAsia="Times New Roman" w:hAnsi="Times New Roman" w:cs="Times New Roman"/>
          <w:color w:val="000000"/>
        </w:rPr>
        <w:t xml:space="preserve"> and nutrient ratios (</w:t>
      </w:r>
      <w:r w:rsidR="00D733A5">
        <w:rPr>
          <w:rFonts w:ascii="Times New Roman" w:eastAsia="Times New Roman" w:hAnsi="Times New Roman" w:cs="Times New Roman"/>
          <w:color w:val="000000"/>
        </w:rPr>
        <w:t>22.5</w:t>
      </w:r>
      <w:r>
        <w:rPr>
          <w:rFonts w:ascii="Times New Roman" w:eastAsia="Times New Roman" w:hAnsi="Times New Roman" w:cs="Times New Roman"/>
          <w:color w:val="000000"/>
        </w:rPr>
        <w:t xml:space="preserve">%). We selected these attributes based on their global health priority and </w:t>
      </w:r>
      <w:r w:rsidR="00421902">
        <w:rPr>
          <w:rFonts w:ascii="Times New Roman" w:eastAsia="Times New Roman" w:hAnsi="Times New Roman" w:cs="Times New Roman"/>
          <w:color w:val="000000"/>
        </w:rPr>
        <w:t xml:space="preserve">data </w:t>
      </w:r>
      <w:r>
        <w:rPr>
          <w:rFonts w:ascii="Times New Roman" w:eastAsia="Times New Roman" w:hAnsi="Times New Roman" w:cs="Times New Roman"/>
          <w:color w:val="000000"/>
        </w:rPr>
        <w:t>availability across diverse foods in existing food composition databases.</w:t>
      </w:r>
    </w:p>
    <w:p w14:paraId="7AAE96C0" w14:textId="77777777" w:rsidR="00C05F6D" w:rsidRDefault="00C05F6D">
      <w:pPr>
        <w:pBdr>
          <w:top w:val="nil"/>
          <w:left w:val="nil"/>
          <w:bottom w:val="nil"/>
          <w:right w:val="nil"/>
          <w:between w:val="nil"/>
        </w:pBdr>
        <w:tabs>
          <w:tab w:val="left" w:pos="260"/>
        </w:tabs>
        <w:spacing w:line="480" w:lineRule="auto"/>
        <w:rPr>
          <w:rFonts w:ascii="Times New Roman" w:eastAsia="Times New Roman" w:hAnsi="Times New Roman" w:cs="Times New Roman"/>
          <w:color w:val="000000"/>
        </w:rPr>
      </w:pPr>
    </w:p>
    <w:p w14:paraId="16DA2E4D" w14:textId="30EADA04" w:rsidR="00C05F6D" w:rsidRDefault="000D22B3">
      <w:pPr>
        <w:pBdr>
          <w:top w:val="nil"/>
          <w:left w:val="nil"/>
          <w:bottom w:val="nil"/>
          <w:right w:val="nil"/>
          <w:between w:val="nil"/>
        </w:pBdr>
        <w:tabs>
          <w:tab w:val="left" w:pos="260"/>
        </w:tabs>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Global diets are commonly lacking in essential vitamins, minerals, amino acids, and </w:t>
      </w:r>
      <w:r>
        <w:rPr>
          <w:rFonts w:ascii="Times New Roman" w:eastAsia="Times New Roman" w:hAnsi="Times New Roman" w:cs="Times New Roman"/>
          <w:i/>
          <w:color w:val="000000"/>
        </w:rPr>
        <w:t>n-</w:t>
      </w:r>
      <w:r>
        <w:rPr>
          <w:rFonts w:ascii="Times New Roman" w:eastAsia="Times New Roman" w:hAnsi="Times New Roman" w:cs="Times New Roman"/>
          <w:color w:val="000000"/>
        </w:rPr>
        <w:t>3 fatty acids</w:t>
      </w:r>
      <w:r w:rsidR="00B02E0D" w:rsidRPr="00F549CC">
        <w:rPr>
          <w:rFonts w:ascii="Times New Roman" w:hAnsi="Times New Roman" w:cs="Times New Roman"/>
        </w:rPr>
        <w:fldChar w:fldCharType="begin"/>
      </w:r>
      <w:r w:rsidR="009C0D3D">
        <w:rPr>
          <w:rFonts w:ascii="Times New Roman" w:hAnsi="Times New Roman" w:cs="Times New Roman"/>
        </w:rPr>
        <w:instrText xml:space="preserve"> ADDIN ZOTERO_ITEM CSL_CITATION {"citationID":"a9e88pq95l","properties":{"formattedCitation":"\\super 22\\uc0\\u8211{}26,35\\nosupersub{}","plainCitation":"22–26,35","noteIndex":0},"citationItems":[{"id":4121,"uris":["http://zotero.org/users/2850877/items/AFKKCX2V"],"itemData":{"id":4121,"type":"article-journal","abstract":"Objectives To quantify global consumption of key dietary fats and oils by country, age, and sex in 1990 and 2010.\nDesign Data were identified, obtained, and assessed among adults in 16 age- and sex-specific groups from dietary surveys worldwide on saturated, omega 6, seafood omega 3, plant omega 3, and trans fats, and dietary cholesterol. We included 266 surveys in adults (83% nationally representative) comprising 1 630 069 unique individuals, representing 113 of 187 countries and 82% of the global population. A multilevel hierarchical Bayesian model accounted for differences in national and regional levels of missing data, measurement incomparability, study representativeness, and sampling and modelling uncertainty.\nSetting and population Global adult population, by age, sex, country, and time.\nResults In 2010, global saturated fat consumption was 9.4%E (95%UI=9.2 to 9.5); country-specific intakes varied dramatically from 2.3 to 27.5%E; in 75 of 187 countries representing 61.8% of the world’s adult population, the mean intake was &lt;10%E. Country-specific omega 6 consumption ranged from 1.2 to 12.5%E (global mean=5.9%E); corresponding range was 0.2 to 6.5%E (1.4%E) for trans fat; 97 to 440 mg/day (228 mg/day) for dietary cholesterol; 5 to 3,886 mg/day (163 mg/day) for seafood omega 3; and &lt;100 to 5,542 mg/day (1,371 mg/day) for plant omega 3. Countries representing 52.4% of the global population had national mean intakes for omega 6 fat ≥5%E; corresponding proportions meeting optimal intakes were 0.6% for trans fat (≤0.5%E); 87.6% for dietary cholesterol (&lt;300 mg/day); 18.9% for seafood omega 3 fat (≥250 mg/day); and 43.9% for plant omega 3 fat (≥1,100 mg/day). Trans fat intakes were generally higher at younger ages; and dietary cholesterol and seafood omega 3 fats generally higher at older ages. Intakes were similar by sex. Between 1990 and 2010, global saturated fat, dietary cholesterol, and trans fat intakes remained stable, while omega 6, seafood omega 3, and plant omega 3 fat intakes each increased.\nConclusions These novel global data on dietary fats and oils identify dramatic diversity across nations and inform policies and priorities for improving global health.","container-title":"BMJ","DOI":"10.1136/bmj.g2272","ISSN":"1756-1833","journalAbbreviation":"BMJ","language":"en","license":"© Micha et al 2014.            This is an Open Access article distributed in accordance with the Creative Commons Attribution Non Commercial (CC BY-NC 3.0) license, which permits others to distribute, remix, adapt, build upon this work non-commercially, and license their derivative works on different terms, provided the original work is properly cited and the use is non-commercial. See: http://creativecommons.org/licenses/by-nc/3.0/.","note":"publisher: British Medical Journal Publishing Group\nsection: Research\nPMID: 24736206","page":"g2272","source":"www.bmj.com","title":"Global, regional, and national consumption levels of dietary fats and oils in 1990 and 2010: a systematic analysis including 266 country-specific nutrition surveys","title-short":"Global, regional, and national consumption levels of dietary fats and oils in 1990 and 2010","volume":"348","author":[{"family":"Micha","given":"Renata"},{"family":"Khatibzadeh","given":"Shahab"},{"family":"Shi","given":"Peilin"},{"family":"Fahimi","given":"Saman"},{"family":"Lim","given":"Stephen"},{"family":"Andrews","given":"Kathryn G."},{"family":"Engell","given":"Rebecca E."},{"family":"Powles","given":"John"},{"family":"Ezzati","given":"Majid"},{"family":"Mozaffarian","given":"Dariush"}],"issued":{"date-parts":[["2014",4,15]]}}},{"id":3927,"uris":["http://zotero.org/users/2850877/items/SMPKFMEL"],"itemData":{"id":3927,"type":"article-journal","container-title":"The Lancet Global Health","DOI":"10.1016/S2214-109X(22)00367-9","ISSN":"2214-109X","issue":"11","journalAbbreviation":"The Lancet Global Health","language":"English","note":"publisher: Elsevier\nPMID: 36240826","page":"e1590-e1599","source":"www.thelancet.com","title":"Micronutrient deficiencies among preschool-aged children and women of reproductive age worldwide: a pooled analysis of individual-level data from population-representative surveys","title-short":"Micronutrient deficiencies among preschool-aged children and women of reproductive age worldwide","volume":"10","author":[{"family":"Stevens","given":"Gretchen A."},{"family":"Beal","given":"Ty"},{"family":"Mbuya","given":"Mduduzi N. N."},{"family":"Luo","given":"Hanqi"},{"family":"Neufeld","given":"Lynnette M."},{"family":"Addo","given":"O. Yaw"},{"family":"Adu-Afarwuah","given":"Seth"},{"family":"Alayón","given":"Silvia"},{"family":"Bhutta","given":"Zulfiqar"},{"family":"Brown","given":"Kenneth H."},{"family":"Jefferds","given":"Maria Elena"},{"family":"Engle-Stone","given":"Reina"},{"family":"Fawzi","given":"Wafaie"},{"family":"Hess","given":"Sonja Y."},{"family":"Johnston","given":"Robert"},{"family":"Katz","given":"Joanne"},{"family":"Krasevec","given":"Julia"},{"family":"McDonald","given":"Christine M."},{"family":"Mei","given":"Zuguo"},{"family":"Osendarp","given":"Saskia"},{"family":"Paciorek","given":"Christopher J."},{"family":"Petry","given":"Nicolai"},{"family":"Pfeiffer","given":"Christine M."},{"family":"Ramirez-Luzuriaga","given":"Maria J."},{"family":"Rogers","given":"Lisa M."},{"family":"Rohner","given":"Fabian"},{"family":"Sethi","given":"Vani"},{"family":"Suchdev","given":"Parminder S."},{"family":"Tessema","given":"Masresha"},{"family":"Villapando","given":"Salvador"},{"family":"Wieringa","given":"Frank T."},{"family":"Williams","given":"Anne M."},{"family":"Woldeyahannes","given":"Meseret"},{"family":"Young","given":"Melissa F."}],"issued":{"date-parts":[["2022",11,1]]}}},{"id":2976,"uris":["http://zotero.org/users/2850877/items/88TJ8WNM"],"itemData":{"id":2976,"type":"article-journal","abstract":"The Food and Agriculture Organization of the United Nations estimates that 843 million people worldwide are hungry and a greater number suffer from nutrient deficiencies. Approximately one billion people have inadequate protein intake. The challenge of preventing hunger and malnutrition will become even greater as the global population grows from the current 7.2 billion people to 9.6 billion by 2050. With increases in income, population, and demand for more nutrient-dense foods, global meat production is projected to increase by 206 million tons per year during the next 35 years. These changes in population and dietary practices have led to a tremendous rise in the demand for food protein, especially animal-source protein. Consuming the required amounts of protein is fundamental to human growth and health. Protein needs can be met through intakes of animal and plant-source foods. Increased consumption of food proteins is associated with increased greenhouse gas emissions and overutilization of water. Consequently, concerns exist regarding impacts of agricultural production, processing and distribution of food protein on the environment, ecosystem, and sustainability. To address these challenging issues, the New York Academy of Sciences organized the conference “Frontiers in Agricultural Sustainability: Studying the Protein Supply Chain to Improve Dietary Quality” to explore sustainable innovations in food science and programming aimed at producing the required quality and quantity of protein through improved supply chains worldwide. This report provides an extensive discussion of these issues and summaries of the presentations from the conference.","container-title":"Annals of the New York Academy of Sciences","DOI":"10.1111/nyas.12500","ISSN":"1749-6632","issue":"1","language":"en","license":"© 2014 New York Academy of Sciences.","note":"_eprint: https://nyaspubs.onlinelibrary.wiley.com/doi/pdf/10.1111/nyas.12500","page":"1-19","source":"Wiley Online Library","title":"Production and supply of high-quality food protein for human consumption: sustainability, challenges, and innovations","title-short":"Production and supply of high-quality food protein for human consumption","volume":"1321","author":[{"family":"Wu","given":"Guoyao"},{"family":"Fanzo","given":"Jessica"},{"family":"Miller","given":"Dennis D."},{"family":"Pingali","given":"Prabhu"},{"family":"Post","given":"Mark"},{"family":"Steiner","given":"Jean L."},{"family":"Thalacker-Mercer","given":"Anna E."}],"issued":{"date-parts":[["2014"]]}}},{"id":1023,"uris":["http://zotero.org/users/2850877/items/KQ6X3IGT"],"itemData":{"id":1023,"type":"article-journal","abstract":"Understanding dietary patterns is vital to reducing the number of people experiencing hunger (about 795 million), micronutrient deficiencies (2 billion), and overweight or obesity (2.1 billion). We characterize global trends in dietary quality by estimating micronutrient density of the food supply, prevalence of inadequate intake of 14 micronutrients, and average prevalence of inadequate intake of these micronutrients for all countries between 1961 and 2011. Over this 50-year period, the estimated prevalence of inadequate intakes of micronutrients has declined in all regions due to increased total production of food and/or micronutrient density. This decline has been particularly strong in East and Southeast Asia and weaker in South Asia and sub-Saharan Africa. Sub-Saharan Africa is the only region where dietary micronutrient density has declined over this 50-year period. At the global level, micronutrients with the lowest levels of adequate estimated intake are calcium, iron, vitamin A, and zinc, but there are strong differences between countries and regions. Fortification has reduced the estimated prevalence of inadequate micronutrient intakes in all low-income regions, except South Asia. The food supply in many countries is still far below energy requirements, which suggests a need to increase the availability and accessibility of nutritious foods. Countries where the food energy supply is adequate show a very large variation in dietary quality, and in many of these countries people would benefit from more diverse diets with a greater proportion of micronutrient-dense foods. Dietary quality can be improved through fortification, biofortification, and agricultural diversification, as well as efforts to improve access to and use of micronutrient-dense foods and nutritional knowledge. Reducing poverty and increasing education, especially of women, are integral to sustainably addressing malnutrition.","container-title":"PLOS ONE","DOI":"10.1371/journal.pone.0175554","ISSN":"1932-6203","issue":"4","journalAbbreviation":"PLOS ONE","page":"e0175554","source":"PLoS Journals","title":"Global trends in dietary micronutrient supplies and estimated prevalence of inadequate intakes","volume":"12","author":[{"family":"Beal","given":"Ty"},{"family":"Massiot","given":"Eric"},{"family":"Arsenault","given":"Joanne E."},{"family":"Smith","given":"Matthew R."},{"family":"Hijmans","given":"Robert J."}],"issued":{"date-parts":[["2017",4,11]]}}},{"id":3938,"uris":["http://zotero.org/users/2850877/items/V3N3FEGV"],"itemData":{"id":3938,"type":"article-journal","abstract":"Access to high-quality dietary intake data is central to many nutrition, epidemiology, economic, environmental, and policy applications. When data on individual nutrient intakes are available, they have not been consistently disaggregated by sex and age groups, and their parameters and full distributions are often not publicly available.We sought to derive usual intake distributions for as many nutrients and population subgroups as possible, use these distributions to estimate nutrient intake inadequacy, compare these distributions and evaluate the implications of their shapes on the estimation of inadequacy, and make these distributions publicly available.We compiled dietary data sets from 31 geographically diverse countries, modeled usual intake distributions for 32 micronutrients and 21 macronutrients, and disaggregated these distributions by sex and age groups. We compared the variability and skewness of the distributions and evaluated their similarity across countries, sex, and age groups. We estimated intake inadequacy for 16 nutrients based on a harmonized set of nutrient requirements and bioavailability estimates. Last, we created an R package—nutriR—to make these distributions freely available for users to apply in their own analyses.Usual intake distributions were rarely symmetric and differed widely in variability and skewness across nutrients and countries. Vitamin intake distributions were more variable and skewed and exhibited less similarity among countries than other nutrients. Inadequate intakes were high and geographically concentrated, as well as generally higher for females than males. We found that the shape of usual intake distributions strongly affects estimates of the prevalence of inadequate intakes.The shape of nutrient intake distributions differs based on nutrient and subgroup and strongly influences estimates of nutrient intake inadequacy. This research represents an important contribution to the availability and application of dietary intake data for diverse subpopulations around the world.","container-title":"The American Journal of Clinical Nutrition","DOI":"10.1093/ajcn/nqac108","ISSN":"0002-9165","issue":"2","journalAbbreviation":"The American Journal of Clinical Nutrition","page":"551-560","source":"Silverchair","title":"Estimating national and subnational nutrient intake distributions of global diets","volume":"116","author":[{"family":"Passarelli","given":"Simone"},{"family":"Free","given":"Christopher M"},{"family":"Allen","given":"Lindsay H"},{"family":"Batis","given":"Carolina"},{"family":"Beal","given":"Ty"},{"family":"Biltoft-Jensen","given":"Anja Pia"},{"family":"Bromage","given":"Sabri"},{"family":"Cao","given":"Ling"},{"family":"Castellanos-Gutiérrez","given":"Analí"},{"family":"Christensen","given":"Tue"},{"family":"Crispim","given":"Sandra P"},{"family":"Dekkers","given":"Arnold"},{"family":"De Ridder","given":"Karin"},{"family":"Kronsteiner-Gicevic","given":"Selma"},{"family":"Lee","given":"Christopher"},{"family":"Li","given":"Yanping"},{"family":"Moursi","given":"Mourad"},{"family":"Moyersoen","given":"Isabelle"},{"family":"Schmidhuber","given":"Josef"},{"family":"Shepon","given":"Alon"},{"family":"Viana","given":"Daniel F"},{"family":"Golden","given":"Christopher D"}],"issued":{"date-parts":[["2022",8,1]]}}},{"id":4196,"uris":["http://zotero.org/users/2850877/items/TC9NPVYJ"],"itemData":{"id":4196,"type":"article-journal","abstract":"Eliminating both overt and hidden hunger is at the core of the global food and nutrition security agenda. Yet, the collective state of nutrition security at the population level is not known. Here we quantify food-based availability of 11 essential nutrients for 156 countries using a food production–consumption–nutrition model, followed by assessment of the nutrient availability status as a ratio of recommended intake. For the baseline year 2017, global per capita availability was adequate for calorie and protein but in severe deficit for vitamin A and calcium (intake ratios, &lt;0.60, where 1.0 is adequate) and moderate deficit for vitamin B12 (intake ratio, 0.76). At the country level, more than half of the 156 countries were in various degrees of deficit for all nine micronutrients. Disparities across regions or countries were enormous. We explore intervention strategies from an agriculture–food system perspective and discuss the daunting challenges of addressing nutrition security broadly.","container-title":"Nature Food","DOI":"10.1038/s43016-023-00851-5","ISSN":"2662-1355","journalAbbreviation":"Nat Food","language":"en","license":"2023 The Author(s), under exclusive licence to Springer Nature Limited","note":"publisher: Nature Publishing Group","page":"1-11","source":"www.nature.com","title":"Global food nutrients analysis reveals alarming gaps and daunting challenges","author":[{"family":"Wang","given":"Xiaozhong"},{"family":"Dou","given":"Zhengxia"},{"family":"Feng","given":"Shi"},{"family":"Zhang","given":"Yi"},{"family":"Ma","given":"Lin"},{"family":"Zou","given":"Chunqin"},{"family":"Bai","given":"Zhaohai"},{"family":"Lakshmanan","given":"Prakash"},{"family":"Shi","given":"Xiaojun"},{"family":"Liu","given":"Dunyi"},{"family":"Zhang","given":"Wei"},{"family":"Deng","given":"Yan"},{"family":"Zhang","given":"Wushuai"},{"family":"Chen","given":"Xuanjing"},{"family":"Zhang","given":"Fusuo"},{"family":"Chen","given":"Xinping"}],"issued":{"date-parts":[["2023",10,12]]}}}],"schema":"https://github.com/citation-style-language/schema/raw/master/csl-citation.json"} </w:instrText>
      </w:r>
      <w:r w:rsidR="00B02E0D" w:rsidRPr="00F549CC">
        <w:rPr>
          <w:rFonts w:ascii="Times New Roman" w:hAnsi="Times New Roman" w:cs="Times New Roman"/>
        </w:rPr>
        <w:fldChar w:fldCharType="separate"/>
      </w:r>
      <w:r w:rsidR="009C0D3D" w:rsidRPr="009C0D3D">
        <w:rPr>
          <w:rFonts w:ascii="Times New Roman" w:hAnsi="Times New Roman" w:cs="Times New Roman"/>
          <w:kern w:val="0"/>
          <w:vertAlign w:val="superscript"/>
        </w:rPr>
        <w:t>22–26,35</w:t>
      </w:r>
      <w:r w:rsidR="00B02E0D" w:rsidRPr="00F549CC">
        <w:rPr>
          <w:rFonts w:ascii="Times New Roman" w:hAnsi="Times New Roman" w:cs="Times New Roman"/>
        </w:rPr>
        <w:fldChar w:fldCharType="end"/>
      </w:r>
      <w:r>
        <w:rPr>
          <w:rFonts w:ascii="Times New Roman" w:eastAsia="Times New Roman" w:hAnsi="Times New Roman" w:cs="Times New Roman"/>
          <w:color w:val="000000"/>
        </w:rPr>
        <w:t xml:space="preserve">. We established their relative weights in the NVS based on the global prevalence and severity of health consequences of inadequacy and deficiency, and on the number of nutrients included in the attribute. The vitamins and minerals attributes make up </w:t>
      </w:r>
      <w:r w:rsidR="00154082">
        <w:rPr>
          <w:rFonts w:ascii="Times New Roman" w:eastAsia="Times New Roman" w:hAnsi="Times New Roman" w:cs="Times New Roman"/>
          <w:color w:val="000000"/>
        </w:rPr>
        <w:t>40</w:t>
      </w:r>
      <w:r>
        <w:rPr>
          <w:rFonts w:ascii="Times New Roman" w:eastAsia="Times New Roman" w:hAnsi="Times New Roman" w:cs="Times New Roman"/>
          <w:color w:val="000000"/>
        </w:rPr>
        <w:t>% of the NVS because deficiency in one or more of four micronutrients is prevalent in over half of preschool-aged children (iron, zinc, and vitamin A) and two thirds of women of reproductive age (iron, zinc, and folate), causing substantial public health burden</w:t>
      </w:r>
      <w:r w:rsidR="00BE787C" w:rsidRPr="00F549CC">
        <w:rPr>
          <w:rFonts w:ascii="Times New Roman" w:hAnsi="Times New Roman" w:cs="Times New Roman"/>
        </w:rPr>
        <w:fldChar w:fldCharType="begin"/>
      </w:r>
      <w:r w:rsidR="00557152">
        <w:rPr>
          <w:rFonts w:ascii="Times New Roman" w:hAnsi="Times New Roman" w:cs="Times New Roman"/>
        </w:rPr>
        <w:instrText xml:space="preserve"> ADDIN ZOTERO_ITEM CSL_CITATION {"citationID":"FtAfOL1M","properties":{"formattedCitation":"\\super 23\\nosupersub{}","plainCitation":"23","noteIndex":0},"citationItems":[{"id":3927,"uris":["http://zotero.org/users/2850877/items/SMPKFMEL"],"itemData":{"id":3927,"type":"article-journal","container-title":"The Lancet Global Health","DOI":"10.1016/S2214-109X(22)00367-9","ISSN":"2214-109X","issue":"11","journalAbbreviation":"The Lancet Global Health","language":"English","note":"publisher: Elsevier\nPMID: 36240826","page":"e1590-e1599","source":"www.thelancet.com","title":"Micronutrient deficiencies among preschool-aged children and women of reproductive age worldwide: a pooled analysis of individual-level data from population-representative surveys","title-short":"Micronutrient deficiencies among preschool-aged children and women of reproductive age worldwide","volume":"10","author":[{"family":"Stevens","given":"Gretchen A."},{"family":"Beal","given":"Ty"},{"family":"Mbuya","given":"Mduduzi N. N."},{"family":"Luo","given":"Hanqi"},{"family":"Neufeld","given":"Lynnette M."},{"family":"Addo","given":"O. Yaw"},{"family":"Adu-Afarwuah","given":"Seth"},{"family":"Alayón","given":"Silvia"},{"family":"Bhutta","given":"Zulfiqar"},{"family":"Brown","given":"Kenneth H."},{"family":"Jefferds","given":"Maria Elena"},{"family":"Engle-Stone","given":"Reina"},{"family":"Fawzi","given":"Wafaie"},{"family":"Hess","given":"Sonja Y."},{"family":"Johnston","given":"Robert"},{"family":"Katz","given":"Joanne"},{"family":"Krasevec","given":"Julia"},{"family":"McDonald","given":"Christine M."},{"family":"Mei","given":"Zuguo"},{"family":"Osendarp","given":"Saskia"},{"family":"Paciorek","given":"Christopher J."},{"family":"Petry","given":"Nicolai"},{"family":"Pfeiffer","given":"Christine M."},{"family":"Ramirez-Luzuriaga","given":"Maria J."},{"family":"Rogers","given":"Lisa M."},{"family":"Rohner","given":"Fabian"},{"family":"Sethi","given":"Vani"},{"family":"Suchdev","given":"Parminder S."},{"family":"Tessema","given":"Masresha"},{"family":"Villapando","given":"Salvador"},{"family":"Wieringa","given":"Frank T."},{"family":"Williams","given":"Anne M."},{"family":"Woldeyahannes","given":"Meseret"},{"family":"Young","given":"Melissa F."}],"issued":{"date-parts":[["2022",11,1]]}}}],"schema":"https://github.com/citation-style-language/schema/raw/master/csl-citation.json"} </w:instrText>
      </w:r>
      <w:r w:rsidR="00BE787C" w:rsidRPr="00F549CC">
        <w:rPr>
          <w:rFonts w:ascii="Times New Roman" w:hAnsi="Times New Roman" w:cs="Times New Roman"/>
        </w:rPr>
        <w:fldChar w:fldCharType="separate"/>
      </w:r>
      <w:r w:rsidR="00557152" w:rsidRPr="00557152">
        <w:rPr>
          <w:rFonts w:ascii="Times New Roman" w:hAnsi="Times New Roman" w:cs="Times New Roman"/>
          <w:kern w:val="0"/>
          <w:vertAlign w:val="superscript"/>
        </w:rPr>
        <w:t>23</w:t>
      </w:r>
      <w:r w:rsidR="00BE787C" w:rsidRPr="00F549CC">
        <w:rPr>
          <w:rFonts w:ascii="Times New Roman" w:hAnsi="Times New Roman" w:cs="Times New Roman"/>
        </w:rPr>
        <w:fldChar w:fldCharType="end"/>
      </w:r>
      <w:r>
        <w:rPr>
          <w:rFonts w:ascii="Times New Roman" w:eastAsia="Times New Roman" w:hAnsi="Times New Roman" w:cs="Times New Roman"/>
          <w:color w:val="000000"/>
        </w:rPr>
        <w:t>. Moreover, estimated dietary inadequacies of numerous single micronutrients also show high prevalence worldwide</w:t>
      </w:r>
      <w:r w:rsidR="0068224E" w:rsidRPr="00F549CC">
        <w:rPr>
          <w:rFonts w:ascii="Times New Roman" w:hAnsi="Times New Roman" w:cs="Times New Roman"/>
        </w:rPr>
        <w:fldChar w:fldCharType="begin"/>
      </w:r>
      <w:r w:rsidR="00557152">
        <w:rPr>
          <w:rFonts w:ascii="Times New Roman" w:hAnsi="Times New Roman" w:cs="Times New Roman"/>
        </w:rPr>
        <w:instrText xml:space="preserve"> ADDIN ZOTERO_ITEM CSL_CITATION {"citationID":"WbcVVQhS","properties":{"formattedCitation":"\\super 25,26\\nosupersub{}","plainCitation":"25,26","noteIndex":0},"citationItems":[{"id":1023,"uris":["http://zotero.org/users/2850877/items/KQ6X3IGT"],"itemData":{"id":1023,"type":"article-journal","abstract":"Understanding dietary patterns is vital to reducing the number of people experiencing hunger (about 795 million), micronutrient deficiencies (2 billion), and overweight or obesity (2.1 billion). We characterize global trends in dietary quality by estimating micronutrient density of the food supply, prevalence of inadequate intake of 14 micronutrients, and average prevalence of inadequate intake of these micronutrients for all countries between 1961 and 2011. Over this 50-year period, the estimated prevalence of inadequate intakes of micronutrients has declined in all regions due to increased total production of food and/or micronutrient density. This decline has been particularly strong in East and Southeast Asia and weaker in South Asia and sub-Saharan Africa. Sub-Saharan Africa is the only region where dietary micronutrient density has declined over this 50-year period. At the global level, micronutrients with the lowest levels of adequate estimated intake are calcium, iron, vitamin A, and zinc, but there are strong differences between countries and regions. Fortification has reduced the estimated prevalence of inadequate micronutrient intakes in all low-income regions, except South Asia. The food supply in many countries is still far below energy requirements, which suggests a need to increase the availability and accessibility of nutritious foods. Countries where the food energy supply is adequate show a very large variation in dietary quality, and in many of these countries people would benefit from more diverse diets with a greater proportion of micronutrient-dense foods. Dietary quality can be improved through fortification, biofortification, and agricultural diversification, as well as efforts to improve access to and use of micronutrient-dense foods and nutritional knowledge. Reducing poverty and increasing education, especially of women, are integral to sustainably addressing malnutrition.","container-title":"PLOS ONE","DOI":"10.1371/journal.pone.0175554","ISSN":"1932-6203","issue":"4","journalAbbreviation":"PLOS ONE","page":"e0175554","source":"PLoS Journals","title":"Global trends in dietary micronutrient supplies and estimated prevalence of inadequate intakes","volume":"12","author":[{"family":"Beal","given":"Ty"},{"family":"Massiot","given":"Eric"},{"family":"Arsenault","given":"Joanne E."},{"family":"Smith","given":"Matthew R."},{"family":"Hijmans","given":"Robert J."}],"issued":{"date-parts":[["2017",4,11]]}}},{"id":3938,"uris":["http://zotero.org/users/2850877/items/V3N3FEGV"],"itemData":{"id":3938,"type":"article-journal","abstract":"Access to high-quality dietary intake data is central to many nutrition, epidemiology, economic, environmental, and policy applications. When data on individual nutrient intakes are available, they have not been consistently disaggregated by sex and age groups, and their parameters and full distributions are often not publicly available.We sought to derive usual intake distributions for as many nutrients and population subgroups as possible, use these distributions to estimate nutrient intake inadequacy, compare these distributions and evaluate the implications of their shapes on the estimation of inadequacy, and make these distributions publicly available.We compiled dietary data sets from 31 geographically diverse countries, modeled usual intake distributions for 32 micronutrients and 21 macronutrients, and disaggregated these distributions by sex and age groups. We compared the variability and skewness of the distributions and evaluated their similarity across countries, sex, and age groups. We estimated intake inadequacy for 16 nutrients based on a harmonized set of nutrient requirements and bioavailability estimates. Last, we created an R package—nutriR—to make these distributions freely available for users to apply in their own analyses.Usual intake distributions were rarely symmetric and differed widely in variability and skewness across nutrients and countries. Vitamin intake distributions were more variable and skewed and exhibited less similarity among countries than other nutrients. Inadequate intakes were high and geographically concentrated, as well as generally higher for females than males. We found that the shape of usual intake distributions strongly affects estimates of the prevalence of inadequate intakes.The shape of nutrient intake distributions differs based on nutrient and subgroup and strongly influences estimates of nutrient intake inadequacy. This research represents an important contribution to the availability and application of dietary intake data for diverse subpopulations around the world.","container-title":"The American Journal of Clinical Nutrition","DOI":"10.1093/ajcn/nqac108","ISSN":"0002-9165","issue":"2","journalAbbreviation":"The American Journal of Clinical Nutrition","page":"551-560","source":"Silverchair","title":"Estimating national and subnational nutrient intake distributions of global diets","volume":"116","author":[{"family":"Passarelli","given":"Simone"},{"family":"Free","given":"Christopher M"},{"family":"Allen","given":"Lindsay H"},{"family":"Batis","given":"Carolina"},{"family":"Beal","given":"Ty"},{"family":"Biltoft-Jensen","given":"Anja Pia"},{"family":"Bromage","given":"Sabri"},{"family":"Cao","given":"Ling"},{"family":"Castellanos-Gutiérrez","given":"Analí"},{"family":"Christensen","given":"Tue"},{"family":"Crispim","given":"Sandra P"},{"family":"Dekkers","given":"Arnold"},{"family":"De Ridder","given":"Karin"},{"family":"Kronsteiner-Gicevic","given":"Selma"},{"family":"Lee","given":"Christopher"},{"family":"Li","given":"Yanping"},{"family":"Moursi","given":"Mourad"},{"family":"Moyersoen","given":"Isabelle"},{"family":"Schmidhuber","given":"Josef"},{"family":"Shepon","given":"Alon"},{"family":"Viana","given":"Daniel F"},{"family":"Golden","given":"Christopher D"}],"issued":{"date-parts":[["2022",8,1]]}}}],"schema":"https://github.com/citation-style-language/schema/raw/master/csl-citation.json"} </w:instrText>
      </w:r>
      <w:r w:rsidR="0068224E" w:rsidRPr="00F549CC">
        <w:rPr>
          <w:rFonts w:ascii="Times New Roman" w:hAnsi="Times New Roman" w:cs="Times New Roman"/>
        </w:rPr>
        <w:fldChar w:fldCharType="separate"/>
      </w:r>
      <w:r w:rsidR="00557152" w:rsidRPr="00557152">
        <w:rPr>
          <w:rFonts w:ascii="Times New Roman" w:hAnsi="Times New Roman" w:cs="Times New Roman"/>
          <w:kern w:val="0"/>
          <w:vertAlign w:val="superscript"/>
        </w:rPr>
        <w:t>25,26</w:t>
      </w:r>
      <w:r w:rsidR="0068224E" w:rsidRPr="00F549CC">
        <w:rPr>
          <w:rFonts w:ascii="Times New Roman" w:hAnsi="Times New Roman" w:cs="Times New Roman"/>
        </w:rPr>
        <w:fldChar w:fldCharType="end"/>
      </w:r>
      <w:r>
        <w:rPr>
          <w:rFonts w:ascii="Times New Roman" w:eastAsia="Times New Roman" w:hAnsi="Times New Roman" w:cs="Times New Roman"/>
          <w:color w:val="000000"/>
        </w:rPr>
        <w:t xml:space="preserve">. We weighted the essential amino acids attribute </w:t>
      </w:r>
      <w:r w:rsidR="00C82F43">
        <w:rPr>
          <w:rFonts w:ascii="Times New Roman" w:eastAsia="Times New Roman" w:hAnsi="Times New Roman" w:cs="Times New Roman"/>
          <w:color w:val="000000"/>
        </w:rPr>
        <w:t xml:space="preserve">7.5 </w:t>
      </w:r>
      <w:r>
        <w:rPr>
          <w:rFonts w:ascii="Times New Roman" w:eastAsia="Times New Roman" w:hAnsi="Times New Roman" w:cs="Times New Roman"/>
          <w:color w:val="000000"/>
        </w:rPr>
        <w:t>percentage points lower than the vitamins and minerals attributes because deficiency in essential amino acids is less prevalent but still poses a public health challenge globally</w:t>
      </w:r>
      <w:r w:rsidR="000D4CC8" w:rsidRPr="00F549CC">
        <w:rPr>
          <w:rFonts w:ascii="Times New Roman" w:hAnsi="Times New Roman" w:cs="Times New Roman"/>
        </w:rPr>
        <w:fldChar w:fldCharType="begin"/>
      </w:r>
      <w:r w:rsidR="00557152">
        <w:rPr>
          <w:rFonts w:ascii="Times New Roman" w:hAnsi="Times New Roman" w:cs="Times New Roman"/>
        </w:rPr>
        <w:instrText xml:space="preserve"> ADDIN ZOTERO_ITEM CSL_CITATION {"citationID":"8aTU1yez","properties":{"formattedCitation":"\\super 24\\nosupersub{}","plainCitation":"24","noteIndex":0},"citationItems":[{"id":2976,"uris":["http://zotero.org/users/2850877/items/88TJ8WNM"],"itemData":{"id":2976,"type":"article-journal","abstract":"The Food and Agriculture Organization of the United Nations estimates that 843 million people worldwide are hungry and a greater number suffer from nutrient deficiencies. Approximately one billion people have inadequate protein intake. The challenge of preventing hunger and malnutrition will become even greater as the global population grows from the current 7.2 billion people to 9.6 billion by 2050. With increases in income, population, and demand for more nutrient-dense foods, global meat production is projected to increase by 206 million tons per year during the next 35 years. These changes in population and dietary practices have led to a tremendous rise in the demand for food protein, especially animal-source protein. Consuming the required amounts of protein is fundamental to human growth and health. Protein needs can be met through intakes of animal and plant-source foods. Increased consumption of food proteins is associated with increased greenhouse gas emissions and overutilization of water. Consequently, concerns exist regarding impacts of agricultural production, processing and distribution of food protein on the environment, ecosystem, and sustainability. To address these challenging issues, the New York Academy of Sciences organized the conference “Frontiers in Agricultural Sustainability: Studying the Protein Supply Chain to Improve Dietary Quality” to explore sustainable innovations in food science and programming aimed at producing the required quality and quantity of protein through improved supply chains worldwide. This report provides an extensive discussion of these issues and summaries of the presentations from the conference.","container-title":"Annals of the New York Academy of Sciences","DOI":"10.1111/nyas.12500","ISSN":"1749-6632","issue":"1","language":"en","license":"© 2014 New York Academy of Sciences.","note":"_eprint: https://nyaspubs.onlinelibrary.wiley.com/doi/pdf/10.1111/nyas.12500","page":"1-19","source":"Wiley Online Library","title":"Production and supply of high-quality food protein for human consumption: sustainability, challenges, and innovations","title-short":"Production and supply of high-quality food protein for human consumption","volume":"1321","author":[{"family":"Wu","given":"Guoyao"},{"family":"Fanzo","given":"Jessica"},{"family":"Miller","given":"Dennis D."},{"family":"Pingali","given":"Prabhu"},{"family":"Post","given":"Mark"},{"family":"Steiner","given":"Jean L."},{"family":"Thalacker-Mercer","given":"Anna E."}],"issued":{"date-parts":[["2014"]]}}}],"schema":"https://github.com/citation-style-language/schema/raw/master/csl-citation.json"} </w:instrText>
      </w:r>
      <w:r w:rsidR="000D4CC8" w:rsidRPr="00F549CC">
        <w:rPr>
          <w:rFonts w:ascii="Times New Roman" w:hAnsi="Times New Roman" w:cs="Times New Roman"/>
        </w:rPr>
        <w:fldChar w:fldCharType="separate"/>
      </w:r>
      <w:r w:rsidR="00557152" w:rsidRPr="00557152">
        <w:rPr>
          <w:rFonts w:ascii="Times New Roman" w:hAnsi="Times New Roman" w:cs="Times New Roman"/>
          <w:kern w:val="0"/>
          <w:vertAlign w:val="superscript"/>
        </w:rPr>
        <w:t>24</w:t>
      </w:r>
      <w:r w:rsidR="000D4CC8" w:rsidRPr="00F549CC">
        <w:rPr>
          <w:rFonts w:ascii="Times New Roman" w:hAnsi="Times New Roman" w:cs="Times New Roman"/>
        </w:rPr>
        <w:fldChar w:fldCharType="end"/>
      </w:r>
      <w:r>
        <w:rPr>
          <w:rFonts w:ascii="Times New Roman" w:eastAsia="Times New Roman" w:hAnsi="Times New Roman" w:cs="Times New Roman"/>
          <w:color w:val="000000"/>
        </w:rPr>
        <w:t xml:space="preserve">. We weighted the </w:t>
      </w:r>
      <w:r>
        <w:rPr>
          <w:rFonts w:ascii="Times New Roman" w:eastAsia="Times New Roman" w:hAnsi="Times New Roman" w:cs="Times New Roman"/>
          <w:i/>
          <w:color w:val="000000"/>
        </w:rPr>
        <w:t>n-</w:t>
      </w:r>
      <w:r>
        <w:rPr>
          <w:rFonts w:ascii="Times New Roman" w:eastAsia="Times New Roman" w:hAnsi="Times New Roman" w:cs="Times New Roman"/>
          <w:color w:val="000000"/>
        </w:rPr>
        <w:t xml:space="preserve">3 fatty acids attribute </w:t>
      </w:r>
      <w:r w:rsidR="007E514C">
        <w:rPr>
          <w:rFonts w:ascii="Times New Roman" w:eastAsia="Times New Roman" w:hAnsi="Times New Roman" w:cs="Times New Roman"/>
          <w:color w:val="000000"/>
        </w:rPr>
        <w:t xml:space="preserve">10 </w:t>
      </w:r>
      <w:r>
        <w:rPr>
          <w:rFonts w:ascii="Times New Roman" w:eastAsia="Times New Roman" w:hAnsi="Times New Roman" w:cs="Times New Roman"/>
          <w:color w:val="000000"/>
        </w:rPr>
        <w:t>percentage points lower than vitamins and minerals attributes because, while two thirds of adults are estimated to have low intake of DHA and EPA and one fifth are estimated to have inadequate intake of ALA</w:t>
      </w:r>
      <w:r w:rsidR="003957B4" w:rsidRPr="00F549CC">
        <w:rPr>
          <w:rFonts w:ascii="Times New Roman" w:hAnsi="Times New Roman" w:cs="Times New Roman"/>
        </w:rPr>
        <w:fldChar w:fldCharType="begin"/>
      </w:r>
      <w:r w:rsidR="00557152">
        <w:rPr>
          <w:rFonts w:ascii="Times New Roman" w:hAnsi="Times New Roman" w:cs="Times New Roman"/>
        </w:rPr>
        <w:instrText xml:space="preserve"> ADDIN ZOTERO_ITEM CSL_CITATION {"citationID":"YBY9oRYQ","properties":{"formattedCitation":"\\super 22\\nosupersub{}","plainCitation":"22","noteIndex":0},"citationItems":[{"id":4121,"uris":["http://zotero.org/users/2850877/items/AFKKCX2V"],"itemData":{"id":4121,"type":"article-journal","abstract":"Objectives To quantify global consumption of key dietary fats and oils by country, age, and sex in 1990 and 2010.\nDesign Data were identified, obtained, and assessed among adults in 16 age- and sex-specific groups from dietary surveys worldwide on saturated, omega 6, seafood omega 3, plant omega 3, and trans fats, and dietary cholesterol. We included 266 surveys in adults (83% nationally representative) comprising 1 630 069 unique individuals, representing 113 of 187 countries and 82% of the global population. A multilevel hierarchical Bayesian model accounted for differences in national and regional levels of missing data, measurement incomparability, study representativeness, and sampling and modelling uncertainty.\nSetting and population Global adult population, by age, sex, country, and time.\nResults In 2010, global saturated fat consumption was 9.4%E (95%UI=9.2 to 9.5); country-specific intakes varied dramatically from 2.3 to 27.5%E; in 75 of 187 countries representing 61.8% of the world’s adult population, the mean intake was &lt;10%E. Country-specific omega 6 consumption ranged from 1.2 to 12.5%E (global mean=5.9%E); corresponding range was 0.2 to 6.5%E (1.4%E) for trans fat; 97 to 440 mg/day (228 mg/day) for dietary cholesterol; 5 to 3,886 mg/day (163 mg/day) for seafood omega 3; and &lt;100 to 5,542 mg/day (1,371 mg/day) for plant omega 3. Countries representing 52.4% of the global population had national mean intakes for omega 6 fat ≥5%E; corresponding proportions meeting optimal intakes were 0.6% for trans fat (≤0.5%E); 87.6% for dietary cholesterol (&lt;300 mg/day); 18.9% for seafood omega 3 fat (≥250 mg/day); and 43.9% for plant omega 3 fat (≥1,100 mg/day). Trans fat intakes were generally higher at younger ages; and dietary cholesterol and seafood omega 3 fats generally higher at older ages. Intakes were similar by sex. Between 1990 and 2010, global saturated fat, dietary cholesterol, and trans fat intakes remained stable, while omega 6, seafood omega 3, and plant omega 3 fat intakes each increased.\nConclusions These novel global data on dietary fats and oils identify dramatic diversity across nations and inform policies and priorities for improving global health.","container-title":"BMJ","DOI":"10.1136/bmj.g2272","ISSN":"1756-1833","journalAbbreviation":"BMJ","language":"en","license":"© Micha et al 2014.            This is an Open Access article distributed in accordance with the Creative Commons Attribution Non Commercial (CC BY-NC 3.0) license, which permits others to distribute, remix, adapt, build upon this work non-commercially, and license their derivative works on different terms, provided the original work is properly cited and the use is non-commercial. See: http://creativecommons.org/licenses/by-nc/3.0/.","note":"publisher: British Medical Journal Publishing Group\nsection: Research\nPMID: 24736206","page":"g2272","source":"www.bmj.com","title":"Global, regional, and national consumption levels of dietary fats and oils in 1990 and 2010: a systematic analysis including 266 country-specific nutrition surveys","title-short":"Global, regional, and national consumption levels of dietary fats and oils in 1990 and 2010","volume":"348","author":[{"family":"Micha","given":"Renata"},{"family":"Khatibzadeh","given":"Shahab"},{"family":"Shi","given":"Peilin"},{"family":"Fahimi","given":"Saman"},{"family":"Lim","given":"Stephen"},{"family":"Andrews","given":"Kathryn G."},{"family":"Engell","given":"Rebecca E."},{"family":"Powles","given":"John"},{"family":"Ezzati","given":"Majid"},{"family":"Mozaffarian","given":"Dariush"}],"issued":{"date-parts":[["2014",4,15]]}}}],"schema":"https://github.com/citation-style-language/schema/raw/master/csl-citation.json"} </w:instrText>
      </w:r>
      <w:r w:rsidR="003957B4" w:rsidRPr="00F549CC">
        <w:rPr>
          <w:rFonts w:ascii="Times New Roman" w:hAnsi="Times New Roman" w:cs="Times New Roman"/>
        </w:rPr>
        <w:fldChar w:fldCharType="separate"/>
      </w:r>
      <w:r w:rsidR="00557152" w:rsidRPr="00557152">
        <w:rPr>
          <w:rFonts w:ascii="Times New Roman" w:hAnsi="Times New Roman" w:cs="Times New Roman"/>
          <w:kern w:val="0"/>
          <w:vertAlign w:val="superscript"/>
        </w:rPr>
        <w:t>22</w:t>
      </w:r>
      <w:r w:rsidR="003957B4" w:rsidRPr="00F549CC">
        <w:rPr>
          <w:rFonts w:ascii="Times New Roman" w:hAnsi="Times New Roman" w:cs="Times New Roman"/>
        </w:rPr>
        <w:fldChar w:fldCharType="end"/>
      </w:r>
      <w:r>
        <w:rPr>
          <w:rFonts w:ascii="Times New Roman" w:eastAsia="Times New Roman" w:hAnsi="Times New Roman" w:cs="Times New Roman"/>
          <w:color w:val="000000"/>
        </w:rPr>
        <w:t xml:space="preserve">, the </w:t>
      </w:r>
      <w:r>
        <w:rPr>
          <w:rFonts w:ascii="Times New Roman" w:eastAsia="Times New Roman" w:hAnsi="Times New Roman" w:cs="Times New Roman"/>
          <w:i/>
          <w:color w:val="000000"/>
        </w:rPr>
        <w:t>n-</w:t>
      </w:r>
      <w:r>
        <w:rPr>
          <w:rFonts w:ascii="Times New Roman" w:eastAsia="Times New Roman" w:hAnsi="Times New Roman" w:cs="Times New Roman"/>
          <w:color w:val="000000"/>
        </w:rPr>
        <w:t>3 attribute includes just one essential nutrient while the vitamins, minerals, and essential amino acids attributes each include multiple essential nutrients.</w:t>
      </w:r>
    </w:p>
    <w:p w14:paraId="4B2EFEB0" w14:textId="77777777" w:rsidR="00C05F6D" w:rsidRDefault="00C05F6D">
      <w:pPr>
        <w:spacing w:line="480" w:lineRule="auto"/>
        <w:rPr>
          <w:rFonts w:ascii="Times New Roman" w:eastAsia="Times New Roman" w:hAnsi="Times New Roman" w:cs="Times New Roman"/>
        </w:rPr>
      </w:pPr>
    </w:p>
    <w:p w14:paraId="64ED810C" w14:textId="1F739EBC"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We weighted the fiber attribute </w:t>
      </w:r>
      <w:r w:rsidR="004063E9">
        <w:rPr>
          <w:rFonts w:ascii="Times New Roman" w:eastAsia="Times New Roman" w:hAnsi="Times New Roman" w:cs="Times New Roman"/>
        </w:rPr>
        <w:t xml:space="preserve">12.5 </w:t>
      </w:r>
      <w:r>
        <w:rPr>
          <w:rFonts w:ascii="Times New Roman" w:eastAsia="Times New Roman" w:hAnsi="Times New Roman" w:cs="Times New Roman"/>
        </w:rPr>
        <w:t>percentage points lower than the vitamins and minerals attributes. This is because, although inadequate fiber intake is common worldwide</w:t>
      </w:r>
      <w:r w:rsidR="00860B23" w:rsidRPr="00F549CC">
        <w:rPr>
          <w:rFonts w:ascii="Times New Roman" w:hAnsi="Times New Roman" w:cs="Times New Roman"/>
        </w:rPr>
        <w:fldChar w:fldCharType="begin"/>
      </w:r>
      <w:r w:rsidR="00557152">
        <w:rPr>
          <w:rFonts w:ascii="Times New Roman" w:hAnsi="Times New Roman" w:cs="Times New Roman"/>
        </w:rPr>
        <w:instrText xml:space="preserve"> ADDIN ZOTERO_ITEM CSL_CITATION {"citationID":"v9vMsZLd","properties":{"formattedCitation":"\\super 28\\nosupersub{}","plainCitation":"28","noteIndex":0},"citationItems":[{"id":2115,"uris":["http://zotero.org/users/2850877/items/LK26HTTN"],"itemData":{"id":2115,"type":"article-journal","abstract":"&lt;h2&gt;Summary&lt;/h2&gt;&lt;h3&gt;Background&lt;/h3&gt;&lt;p&gt;Suboptimal diet is an important preventable risk factor for non-communicable diseases (NCDs); however, its impact on the burden of NCDs has not been systematically evaluated. This study aimed to evaluate the consumption of major foods and nutrients across 195 countries and to quantify the impact of their suboptimal intake on NCD mortality and morbidity.&lt;/p&gt;&lt;h3&gt;Methods&lt;/h3&gt;&lt;p&gt;By use of a comparative risk assessment approach, we estimated the proportion of disease-specific burden attributable to each dietary risk factor (also referred to as population attributable fraction) among adults aged 25 years or older. The main inputs to this analysis included the intake of each dietary factor, the effect size of the dietary factor on disease endpoint, and the level of intake associated with the lowest risk of mortality. Then, by use of disease-specific population attributable fractions, mortality, and disability-adjusted life-years (DALYs), we calculated the number of deaths and DALYs attributable to diet for each disease outcome.&lt;/p&gt;&lt;h3&gt;Findings&lt;/h3&gt;&lt;p&gt;In 2017, 11 million (95% uncertainty interval [UI] 10–12) deaths and 255 million (234–274) DALYs were attributable to dietary risk factors. High intake of sodium (3 million [1–5] deaths and 70 million [34–118] DALYs), low intake of whole grains (3 million [2–4] deaths and 82 million [59–109] DALYs), and low intake of fruits (2 million [1–4] deaths and 65 million [41–92] DALYs) were the leading dietary risk factors for deaths and DALYs globally and in many countries. Dietary data were from mixed sources and were not available for all countries, increasing the statistical uncertainty of our estimates.&lt;/p&gt;&lt;h3&gt;Interpretation&lt;/h3&gt;&lt;p&gt;This study provides a comprehensive picture of the potential impact of suboptimal diet on NCD mortality and morbidity, highlighting the need for improving diet across nations. Our findings will inform implementation of evidence-based dietary interventions and provide a platform for evaluation of their impact on human health annually.&lt;/p&gt;&lt;h3&gt;Funding&lt;/h3&gt;&lt;p&gt;Bill &amp; Melinda Gates Foundation.&lt;/p&gt;","container-title":"The Lancet","DOI":"10.1016/S0140-6736(19)30041-8","ISSN":"0140-6736, 1474-547X","issue":"0","journalAbbreviation":"The Lancet","language":"English","source":"www.thelancet.com","title":"Health effects of dietary risks in 195 countries, 1990–2017: a systematic analysis for the Global Burden of Disease Study 2017","title-short":"Health effects of dietary risks in 195 countries, 1990–2017","URL":"https://www.thelancet.com/journals/lancet/article/PIIS0140-6736(19)30041-8/abstract","volume":"0","author":[{"family":"Afshin","given":"Ashkan"},{"family":"Sur","given":"Patrick John"},{"family":"Fay","given":"Kairsten A."},{"family":"Cornaby","given":"Leslie"},{"family":"Ferrara","given":"Giannina"},{"family":"Salama","given":"Joseph S."},{"family":"Mullany","given":"Erin C."},{"family":"Abate","given":"Kalkidan Hassen"},{"family":"Abbafati","given":"Cristiana"},{"family":"Abebe","given":"Zegeye"},{"family":"Afarideh","given":"Mohsen"},{"family":"Aggarwal","given":"Anju"},{"family":"Agrawal","given":"Sutapa"},{"family":"Akinyemiju","given":"Tomi"},{"family":"Alahdab","given":"Fares"},{"family":"Bacha","given":"Umar"},{"family":"Bachman","given":"Victoria F."},{"family":"Badali","given":"Hamid"},{"family":"Badawi","given":"Alaa"},{"family":"Bensenor","given":"Isabela M."},{"family":"Bernabe","given":"Eduardo"},{"family":"Biadgilign","given":"Sibhatu Kassa K."},{"family":"Biryukov","given":"Stan H."},{"family":"Cahill","given":"Leah E."},{"family":"Carrero","given":"Juan J."},{"family":"Cercy","given":"Kelly M."},{"family":"Dandona","given":"Lalit"},{"family":"Dandona","given":"Rakhi"},{"family":"Dang","given":"Anh Kim"},{"family":"Degefa","given":"Meaza Girma"},{"family":"Zaki","given":"Maysaa El Sayed"},{"family":"Esteghamati","given":"Alireza"},{"family":"Esteghamati","given":"Sadaf"},{"family":"Fanzo","given":"Jessica"},{"family":"Farinha","given":"Carla Sofia e Sá"},{"family":"Farvid","given":"Maryam S."},{"family":"Farzadfar","given":"Farshad"},{"family":"Feigin","given":"Valery L."},{"family":"Fernandes","given":"Joao C."},{"family":"Flor","given":"Luisa Sorio"},{"family":"Foigt","given":"Nataliya A."},{"family":"Forouzanfar","given":"Mohammad H."},{"family":"Ganji","given":"Morsaleh"},{"family":"Geleijnse","given":"Johanna M."},{"family":"Gillum","given":"Richard F."},{"family":"Goulart","given":"Alessandra C."},{"family":"Grosso","given":"Giuseppe"},{"family":"Guessous","given":"Idris"},{"family":"Hamidi","given":"Samer"},{"family":"Hankey","given":"Graeme J."},{"family":"Harikrishnan","given":"Sivadasanpillai"},{"family":"Hassen","given":"Hamid Yimam"},{"family":"Hay","given":"Simon I."},{"family":"Hoang","given":"Chi Linh"},{"family":"Horino","given":"Masako"},{"family":"Islami","given":"Farhad"},{"family":"Jackson","given":"Maria D."},{"family":"James","given":"Spencer L."},{"family":"Johansson","given":"Lars"},{"family":"Jonas","given":"Jost B."},{"family":"Kasaeian","given":"Amir"},{"family":"Khader","given":"Yousef Saleh"},{"family":"Khalil","given":"Ibrahim A."},{"family":"Khang","given":"Young-Ho"},{"family":"Kimokoti","given":"Ruth W."},{"family":"Kokubo","given":"Yoshihiro"},{"family":"Kumar","given":"G. Anil"},{"family":"Lallukka","given":"Tea"},{"family":"Lopez","given":"Alan D."},{"family":"Lorkowski","given":"Stefan"},{"family":"Lotufo","given":"Paulo A."},{"family":"Lozano","given":"Rafael"},{"family":"Malekzadeh","given":"Reza"},{"family":"März","given":"Winfried"},{"family":"Meier","given":"Toni"},{"family":"Melaku","given":"Yohannes A."},{"family":"Mendoza","given":"Walter"},{"family":"Mensink","given":"Gert B. M."},{"family":"Micha","given":"Renata"},{"family":"Miller","given":"Ted R."},{"family":"Mirarefin","given":"Mojde"},{"family":"Mohan","given":"Viswanathan"},{"family":"Mokdad","given":"Ali H."},{"family":"Mozaffarian","given":"Dariush"},{"family":"Nagel","given":"Gabriele"},{"family":"Naghavi","given":"Mohsen"},{"family":"Nguyen","given":"Cuong Tat"},{"family":"Nixon","given":"Molly R."},{"family":"Ong","given":"Kanyin L."},{"family":"Pereira","given":"David M."},{"family":"Poustchi","given":"Hossein"},{"family":"Qorbani","given":"Mostafa"},{"family":"Rai","given":"Rajesh Kumar"},{"family":"Razo-García","given":"Christian"},{"family":"Rehm","given":"Colin D."},{"family":"Rivera","given":"Juan A."},{"family":"Rodríguez-Ramírez","given":"Sonia"},{"family":"Roshandel","given":"Gholamreza"},{"family":"Roth","given":"Gregory A."},{"family":"Sanabria","given":"Juan"},{"family":"Sánchez-Pimienta","given":"Tania G."},{"family":"Sartorius","given":"Benn"},{"family":"Schmidhuber","given":"Josef"},{"family":"Schutte","given":"Aletta Elisabeth"},{"family":"Sepanlou","given":"Sadaf G."},{"family":"Shin","given":"Min-Jeong"},{"family":"Sorensen","given":"Reed J. D."},{"family":"Springmann","given":"Marco"},{"family":"Szponar","given":"Lucjan"},{"family":"Thorne-Lyman","given":"Andrew L."},{"family":"Thrift","given":"Amanda G."},{"family":"Touvier","given":"Mathilde"},{"family":"Tran","given":"Bach Xuan"},{"family":"Tyrovolas","given":"Stefanos"},{"family":"Ukwaja","given":"Kingsley Nnanna"},{"family":"Ullah","given":"Irfan"},{"family":"Uthman","given":"Olalekan A."},{"family":"Vaezghasemi","given":"Masoud"},{"family":"Vasankari","given":"Tommi Juhani"},{"family":"Vollset","given":"Stein Emil"},{"family":"Vos","given":"Theo"},{"family":"Vu","given":"Giang Thu"},{"family":"Vu","given":"Linh Gia"},{"family":"Weiderpass","given":"Elisabete"},{"family":"Werdecker","given":"Andrea"},{"family":"Wijeratne","given":"Tissa"},{"family":"Willett","given":"Walter C."},{"family":"Wu","given":"Jason H."},{"family":"Xu","given":"Gelin"},{"family":"Yonemoto","given":"Naohiro"},{"family":"Yu","given":"Chuanhua"},{"family":"Murray","given":"Christopher J. L."}],"accessed":{"date-parts":[["2019",4,5]]},"issued":{"date-parts":[["2019",4,3]]}}}],"schema":"https://github.com/citation-style-language/schema/raw/master/csl-citation.json"} </w:instrText>
      </w:r>
      <w:r w:rsidR="00860B23" w:rsidRPr="00F549CC">
        <w:rPr>
          <w:rFonts w:ascii="Times New Roman" w:hAnsi="Times New Roman" w:cs="Times New Roman"/>
        </w:rPr>
        <w:fldChar w:fldCharType="separate"/>
      </w:r>
      <w:r w:rsidR="00557152" w:rsidRPr="00557152">
        <w:rPr>
          <w:rFonts w:ascii="Times New Roman" w:hAnsi="Times New Roman" w:cs="Times New Roman"/>
          <w:kern w:val="0"/>
          <w:vertAlign w:val="superscript"/>
        </w:rPr>
        <w:t>28</w:t>
      </w:r>
      <w:r w:rsidR="00860B23" w:rsidRPr="00F549CC">
        <w:rPr>
          <w:rFonts w:ascii="Times New Roman" w:hAnsi="Times New Roman" w:cs="Times New Roman"/>
        </w:rPr>
        <w:fldChar w:fldCharType="end"/>
      </w:r>
      <w:r>
        <w:rPr>
          <w:rFonts w:ascii="Times New Roman" w:eastAsia="Times New Roman" w:hAnsi="Times New Roman" w:cs="Times New Roman"/>
        </w:rPr>
        <w:t xml:space="preserve">, fiber is not an essential nutrient. Also, like the </w:t>
      </w:r>
      <w:r>
        <w:rPr>
          <w:rFonts w:ascii="Times New Roman" w:eastAsia="Times New Roman" w:hAnsi="Times New Roman" w:cs="Times New Roman"/>
          <w:i/>
        </w:rPr>
        <w:t>n</w:t>
      </w:r>
      <w:r>
        <w:rPr>
          <w:rFonts w:ascii="Times New Roman" w:eastAsia="Times New Roman" w:hAnsi="Times New Roman" w:cs="Times New Roman"/>
        </w:rPr>
        <w:t xml:space="preserve">-3 attribute, fiber is the only component within the attribute. Additionally, the NVS assesses </w:t>
      </w:r>
      <w:r w:rsidR="000E151D">
        <w:rPr>
          <w:rFonts w:ascii="Times New Roman" w:eastAsia="Times New Roman" w:hAnsi="Times New Roman" w:cs="Times New Roman"/>
        </w:rPr>
        <w:t>unprocessed, minimally</w:t>
      </w:r>
      <w:r w:rsidR="00D574A1">
        <w:rPr>
          <w:rFonts w:ascii="Times New Roman" w:eastAsia="Times New Roman" w:hAnsi="Times New Roman" w:cs="Times New Roman"/>
        </w:rPr>
        <w:t xml:space="preserve"> processed,</w:t>
      </w:r>
      <w:r w:rsidR="000E151D">
        <w:rPr>
          <w:rFonts w:ascii="Times New Roman" w:eastAsia="Times New Roman" w:hAnsi="Times New Roman" w:cs="Times New Roman"/>
        </w:rPr>
        <w:t xml:space="preserve"> and </w:t>
      </w:r>
      <w:r>
        <w:rPr>
          <w:rFonts w:ascii="Times New Roman" w:eastAsia="Times New Roman" w:hAnsi="Times New Roman" w:cs="Times New Roman"/>
        </w:rPr>
        <w:t>processed foods recommended in dietary guidelines and thus do not substantially contribute to risk of noncommunicable diseases that fiber protects against.</w:t>
      </w:r>
      <w:r w:rsidR="00D733A5">
        <w:rPr>
          <w:rFonts w:ascii="Times New Roman" w:eastAsia="Times New Roman" w:hAnsi="Times New Roman" w:cs="Times New Roman"/>
        </w:rPr>
        <w:t xml:space="preserve"> We weighted the </w:t>
      </w:r>
      <w:r w:rsidR="007E29CF">
        <w:rPr>
          <w:rFonts w:ascii="Times New Roman" w:eastAsia="Times New Roman" w:hAnsi="Times New Roman" w:cs="Times New Roman"/>
        </w:rPr>
        <w:t>C</w:t>
      </w:r>
      <w:r w:rsidR="00D733A5">
        <w:rPr>
          <w:rFonts w:ascii="Times New Roman" w:eastAsia="Times New Roman" w:hAnsi="Times New Roman" w:cs="Times New Roman"/>
        </w:rPr>
        <w:t>alories attribute the same as the fiber attribute and the individual nutrient ratios included in the nutrient ratio score to be consistent.</w:t>
      </w:r>
      <w:r>
        <w:rPr>
          <w:rFonts w:ascii="Times New Roman" w:eastAsia="Times New Roman" w:hAnsi="Times New Roman" w:cs="Times New Roman"/>
        </w:rPr>
        <w:t xml:space="preserve"> We weighted the nutrient ratios attribute </w:t>
      </w:r>
      <w:r w:rsidR="00074C73">
        <w:rPr>
          <w:rFonts w:ascii="Times New Roman" w:eastAsia="Times New Roman" w:hAnsi="Times New Roman" w:cs="Times New Roman"/>
        </w:rPr>
        <w:t xml:space="preserve">2.5 </w:t>
      </w:r>
      <w:r>
        <w:rPr>
          <w:rFonts w:ascii="Times New Roman" w:eastAsia="Times New Roman" w:hAnsi="Times New Roman" w:cs="Times New Roman"/>
        </w:rPr>
        <w:t xml:space="preserve">percentage points </w:t>
      </w:r>
      <w:r w:rsidR="00074C73">
        <w:rPr>
          <w:rFonts w:ascii="Times New Roman" w:eastAsia="Times New Roman" w:hAnsi="Times New Roman" w:cs="Times New Roman"/>
        </w:rPr>
        <w:t xml:space="preserve">higher </w:t>
      </w:r>
      <w:r>
        <w:rPr>
          <w:rFonts w:ascii="Times New Roman" w:eastAsia="Times New Roman" w:hAnsi="Times New Roman" w:cs="Times New Roman"/>
        </w:rPr>
        <w:t>than the vitamins and minerals attributes</w:t>
      </w:r>
      <w:r w:rsidR="00F13993">
        <w:rPr>
          <w:rFonts w:ascii="Times New Roman" w:eastAsia="Times New Roman" w:hAnsi="Times New Roman" w:cs="Times New Roman"/>
        </w:rPr>
        <w:t>, since</w:t>
      </w:r>
      <w:r>
        <w:rPr>
          <w:rFonts w:ascii="Times New Roman" w:eastAsia="Times New Roman" w:hAnsi="Times New Roman" w:cs="Times New Roman"/>
        </w:rPr>
        <w:t xml:space="preserve"> </w:t>
      </w:r>
      <w:r w:rsidR="00F13993">
        <w:rPr>
          <w:rFonts w:ascii="Times New Roman" w:eastAsia="Times New Roman" w:hAnsi="Times New Roman" w:cs="Times New Roman"/>
        </w:rPr>
        <w:t>n</w:t>
      </w:r>
      <w:r>
        <w:rPr>
          <w:rFonts w:ascii="Times New Roman" w:eastAsia="Times New Roman" w:hAnsi="Times New Roman" w:cs="Times New Roman"/>
        </w:rPr>
        <w:t>utrient ratios are important for assessing risk of noncommunicable diseases</w:t>
      </w:r>
      <w:r w:rsidR="00F13993">
        <w:rPr>
          <w:rFonts w:ascii="Times New Roman" w:eastAsia="Times New Roman" w:hAnsi="Times New Roman" w:cs="Times New Roman"/>
        </w:rPr>
        <w:t xml:space="preserve">, which are widespread </w:t>
      </w:r>
      <w:r w:rsidR="00CF5949">
        <w:rPr>
          <w:rFonts w:ascii="Times New Roman" w:eastAsia="Times New Roman" w:hAnsi="Times New Roman" w:cs="Times New Roman"/>
        </w:rPr>
        <w:t>globally</w:t>
      </w:r>
      <w:r w:rsidR="00F13993">
        <w:rPr>
          <w:rFonts w:ascii="Times New Roman" w:eastAsia="Times New Roman" w:hAnsi="Times New Roman" w:cs="Times New Roman"/>
        </w:rPr>
        <w:t xml:space="preserve"> and increasing</w:t>
      </w:r>
      <w:r w:rsidR="00A64F9E" w:rsidRPr="00F549CC">
        <w:rPr>
          <w:rFonts w:ascii="Times New Roman" w:hAnsi="Times New Roman" w:cs="Times New Roman"/>
        </w:rPr>
        <w:fldChar w:fldCharType="begin"/>
      </w:r>
      <w:r w:rsidR="00557152">
        <w:rPr>
          <w:rFonts w:ascii="Times New Roman" w:hAnsi="Times New Roman" w:cs="Times New Roman"/>
        </w:rPr>
        <w:instrText xml:space="preserve"> ADDIN ZOTERO_ITEM CSL_CITATION {"citationID":"EW3V2c6e","properties":{"formattedCitation":"\\super 3,27\\nosupersub{}","plainCitation":"3,27","noteIndex":0},"citationItems":[{"id":3101,"uris":["http://zotero.org/users/2850877/items/YY2LRKJT"],"itemData":{"id":3101,"type":"article-journal","abstract":"Nutrient profiling systems (NPS) aim to discriminate the healthfulness of foods for front-of-package labelling, warning labels, taxation, company ratings and more. Existing NPS often assess relatively few nutrients and ingredients, use inconsistent criteria across food categories and have not incorporated the newest science. Here, we developed and validated an NPS, the Food Compass, to incorporate a broader range of food characteristics, attributes and uniform scoring principles. We scored 54 attributes across 9 health-relevant domains: nutrient ratios, vitamins, minerals, food ingredients, additives, processing, specific lipids, fibre and protein, and phytochemicals. The domain scores were summed into a final Food Compass Score (FCS) ranging from 1 (least healthy) to 100 (most healthy) for all foods and beverages. Content validity was confirmed by assessing nutrients, food ingredients and other characteristics of public health concern; face validity was confirmed by assessing the FCS for 8,032 foods and beverages reported in NHANES/FNDDS 2015–16; and convergent and discriminant validity was confirmed from comparisons with the NOVA food processing classification, the Health Star Rating and the Nutri-Score. The FCS differentiated food categories and food items well, with mean ± s.d. ranging from 16.4 ± 17.7 for savoury snacks and sweet desserts to 78.6 ± 17.4 for legumes, nuts and seeds. In many food categories, the FCS provided important discrimination of specific foods and beverages as compared with NOVA, the Health Star Rating or the Nutri-Score. On the basis of demonstrated content, convergent and discriminant validity, the Food Compass provides an NPS scoring a broader range of attributes and domains than previous systems with uniform and transparent principles. This publicly available tool will help guide consumer choice, research, food policy, industry reformulations and mission-focused investment decisions.","container-title":"Nature Food","DOI":"10.1038/s43016-021-00381-y","ISSN":"2662-1355","issue":"10","journalAbbreviation":"Nat Food","language":"en","license":"2021 The Author(s), under exclusive licence to Springer Nature Limited","note":"Bandiera_abtest: a\nCg_type: Nature Research Journals\nnumber: 10\nPrimary_atype: Research\npublisher: Nature Publishing Group\nSubject_term: Business;Risk factors\nSubject_term_id: business;risk-factors","page":"809-818","source":"www.nature.com","title":"Food Compass is a nutrient profiling system using expanded characteristics for assessing healthfulness of foods","volume":"2","author":[{"family":"Mozaffarian","given":"Dariush"},{"family":"El-Abbadi","given":"Naglaa H."},{"family":"O’Hearn","given":"Meghan"},{"family":"Erndt-Marino","given":"Josh"},{"family":"Masters","given":"William A."},{"family":"Jacques","given":"Paul"},{"family":"Shi","given":"Peilin"},{"family":"Blumberg","given":"Jeffrey B."},{"family":"Micha","given":"Renata"}],"issued":{"date-parts":[["2021",10]]}}},{"id":4126,"uris":["http://zotero.org/users/2850877/items/4572G3LN"],"itemData":{"id":4126,"type":"article-journal","abstract":"A recent Perspective article described the “carbohydrate-insulin model (CIM)” of obesity, asserting that it “better reflects knowledge on the biology of weight control” as compared with what was described as the “dominant energy balance model (EBM),” which fails to consider “biological mechanisms that promote weight gain.” Unfortunately, the Perspective conflated and confused the principle of energy balance, a law of physics that is agnostic as to obesity mechanisms, with the EBM as a theoretical model of obesity that is firmly based on biology. In doing so, the authors presented a false choice between the CIM and a caricature of the EBM that does not reflect modern obesity science. Here, we present a more accurate description of the EBM where the brain is the primary organ responsible for body weight regulation operating mainly below our conscious awareness via complex endocrine, metabolic, and nervous system signals to control food intake in response to the body’s dynamic energy needs as well as environmental influences. We also describe the recent history of the CIM and show how the latest “most comprehensive formulation” abandons a formerly central feature that required fat accumulation in adipose tissue to be the primary driver of positive energy balance. As such, the new CIM can be considered a special case of the more comprehensive EBM but with a narrower focus on diets high in glycemic load as the primary factor responsible for common obesity. We review data from a wide variety of studies that address the validity of each model and demonstrate that the EBM is a more robust theory of obesity than the CIM.","container-title":"The American Journal of Clinical Nutrition","DOI":"10.1093/ajcn/nqac031","ISSN":"0002-9165","issue":"5","journalAbbreviation":"The American Journal of Clinical Nutrition","page":"1243-1254","source":"ScienceDirect","title":"The energy balance model of obesity: beyond calories in, calories out","title-short":"The energy balance model of obesity","volume":"115","author":[{"family":"Hall","given":"Kevin D"},{"family":"Farooqi","given":"I Sadaf"},{"family":"Friedman","given":"Jeffery M"},{"family":"Klein","given":"Samuel"},{"family":"Loos","given":"Ruth JF"},{"family":"Mangelsdorf","given":"David J"},{"family":"O’Rahilly","given":"Stephen"},{"family":"Ravussin","given":"Eric"},{"family":"Redman","given":"Leanne M"},{"family":"Ryan","given":"Donna H"},{"family":"Speakman","given":"John R"},{"family":"Tobias","given":"Deirdre K"}],"issued":{"date-parts":[["2022",5,1]]}}}],"schema":"https://github.com/citation-style-language/schema/raw/master/csl-citation.json"} </w:instrText>
      </w:r>
      <w:r w:rsidR="00A64F9E" w:rsidRPr="00F549CC">
        <w:rPr>
          <w:rFonts w:ascii="Times New Roman" w:hAnsi="Times New Roman" w:cs="Times New Roman"/>
        </w:rPr>
        <w:fldChar w:fldCharType="separate"/>
      </w:r>
      <w:r w:rsidR="00557152" w:rsidRPr="00557152">
        <w:rPr>
          <w:rFonts w:ascii="Times New Roman" w:hAnsi="Times New Roman" w:cs="Times New Roman"/>
          <w:kern w:val="0"/>
          <w:vertAlign w:val="superscript"/>
        </w:rPr>
        <w:t>3,27</w:t>
      </w:r>
      <w:r w:rsidR="00A64F9E" w:rsidRPr="00F549CC">
        <w:rPr>
          <w:rFonts w:ascii="Times New Roman" w:hAnsi="Times New Roman" w:cs="Times New Roman"/>
        </w:rPr>
        <w:fldChar w:fldCharType="end"/>
      </w:r>
      <w:r>
        <w:rPr>
          <w:rFonts w:ascii="Times New Roman" w:eastAsia="Times New Roman" w:hAnsi="Times New Roman" w:cs="Times New Roman"/>
        </w:rPr>
        <w:t>.</w:t>
      </w:r>
    </w:p>
    <w:p w14:paraId="067CA4C5" w14:textId="77777777" w:rsidR="00C05F6D" w:rsidRDefault="00C05F6D">
      <w:pPr>
        <w:spacing w:line="480" w:lineRule="auto"/>
        <w:rPr>
          <w:rFonts w:ascii="Times New Roman" w:eastAsia="Times New Roman" w:hAnsi="Times New Roman" w:cs="Times New Roman"/>
        </w:rPr>
      </w:pPr>
    </w:p>
    <w:p w14:paraId="76C9D342" w14:textId="77777777"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t>Each dietary attribute is described in further detail below.</w:t>
      </w:r>
    </w:p>
    <w:p w14:paraId="37BA85EF" w14:textId="77777777" w:rsidR="00C05F6D" w:rsidRDefault="00C05F6D">
      <w:pPr>
        <w:spacing w:line="480" w:lineRule="auto"/>
        <w:rPr>
          <w:rFonts w:ascii="Times New Roman" w:eastAsia="Times New Roman" w:hAnsi="Times New Roman" w:cs="Times New Roman"/>
        </w:rPr>
      </w:pPr>
    </w:p>
    <w:p w14:paraId="09B0FE84" w14:textId="77777777" w:rsidR="00C05F6D" w:rsidRDefault="000D22B3">
      <w:pPr>
        <w:spacing w:line="480" w:lineRule="auto"/>
        <w:rPr>
          <w:rFonts w:ascii="Times New Roman" w:eastAsia="Times New Roman" w:hAnsi="Times New Roman" w:cs="Times New Roman"/>
          <w:b/>
        </w:rPr>
      </w:pPr>
      <w:r>
        <w:rPr>
          <w:rFonts w:ascii="Times New Roman" w:eastAsia="Times New Roman" w:hAnsi="Times New Roman" w:cs="Times New Roman"/>
          <w:b/>
        </w:rPr>
        <w:t>Vitamins</w:t>
      </w:r>
    </w:p>
    <w:p w14:paraId="6620B583" w14:textId="0C5BF766"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t>The vitamin score (</w:t>
      </w:r>
      <w:r>
        <w:rPr>
          <w:rFonts w:ascii="Times New Roman" w:eastAsia="Times New Roman" w:hAnsi="Times New Roman" w:cs="Times New Roman"/>
          <w:i/>
        </w:rPr>
        <w:t>V</w:t>
      </w:r>
      <w:r>
        <w:rPr>
          <w:rFonts w:ascii="Times New Roman" w:eastAsia="Times New Roman" w:hAnsi="Times New Roman" w:cs="Times New Roman"/>
        </w:rPr>
        <w:t>) reflects the quantity and quality of 11 vitamins of public health priority: folate, choline, riboflavin, thiamin, niacin, and vitamins A, B6, B12, C, D, and E. Low supply, low intake, or deficiency of these vitamins is common worldwide</w:t>
      </w:r>
      <w:r w:rsidR="00A544DE" w:rsidRPr="00F549CC">
        <w:rPr>
          <w:rFonts w:ascii="Times New Roman" w:hAnsi="Times New Roman" w:cs="Times New Roman"/>
        </w:rPr>
        <w:fldChar w:fldCharType="begin"/>
      </w:r>
      <w:r w:rsidR="009C0D3D">
        <w:rPr>
          <w:rFonts w:ascii="Times New Roman" w:hAnsi="Times New Roman" w:cs="Times New Roman"/>
        </w:rPr>
        <w:instrText xml:space="preserve"> ADDIN ZOTERO_ITEM CSL_CITATION {"citationID":"al4ue8ouuv","properties":{"formattedCitation":"\\super 23,25,26,35\\nosupersub{}","plainCitation":"23,25,26,35","noteIndex":0},"citationItems":[{"id":3927,"uris":["http://zotero.org/users/2850877/items/SMPKFMEL"],"itemData":{"id":3927,"type":"article-journal","container-title":"The Lancet Global Health","DOI":"10.1016/S2214-109X(22)00367-9","ISSN":"2214-109X","issue":"11","journalAbbreviation":"The Lancet Global Health","language":"English","note":"publisher: Elsevier\nPMID: 36240826","page":"e1590-e1599","source":"www.thelancet.com","title":"Micronutrient deficiencies among preschool-aged children and women of reproductive age worldwide: a pooled analysis of individual-level data from population-representative surveys","title-short":"Micronutrient deficiencies among preschool-aged children and women of reproductive age worldwide","volume":"10","author":[{"family":"Stevens","given":"Gretchen A."},{"family":"Beal","given":"Ty"},{"family":"Mbuya","given":"Mduduzi N. N."},{"family":"Luo","given":"Hanqi"},{"family":"Neufeld","given":"Lynnette M."},{"family":"Addo","given":"O. Yaw"},{"family":"Adu-Afarwuah","given":"Seth"},{"family":"Alayón","given":"Silvia"},{"family":"Bhutta","given":"Zulfiqar"},{"family":"Brown","given":"Kenneth H."},{"family":"Jefferds","given":"Maria Elena"},{"family":"Engle-Stone","given":"Reina"},{"family":"Fawzi","given":"Wafaie"},{"family":"Hess","given":"Sonja Y."},{"family":"Johnston","given":"Robert"},{"family":"Katz","given":"Joanne"},{"family":"Krasevec","given":"Julia"},{"family":"McDonald","given":"Christine M."},{"family":"Mei","given":"Zuguo"},{"family":"Osendarp","given":"Saskia"},{"family":"Paciorek","given":"Christopher J."},{"family":"Petry","given":"Nicolai"},{"family":"Pfeiffer","given":"Christine M."},{"family":"Ramirez-Luzuriaga","given":"Maria J."},{"family":"Rogers","given":"Lisa M."},{"family":"Rohner","given":"Fabian"},{"family":"Sethi","given":"Vani"},{"family":"Suchdev","given":"Parminder S."},{"family":"Tessema","given":"Masresha"},{"family":"Villapando","given":"Salvador"},{"family":"Wieringa","given":"Frank T."},{"family":"Williams","given":"Anne M."},{"family":"Woldeyahannes","given":"Meseret"},{"family":"Young","given":"Melissa F."}],"issued":{"date-parts":[["2022",11,1]]}}},{"id":1023,"uris":["http://zotero.org/users/2850877/items/KQ6X3IGT"],"itemData":{"id":1023,"type":"article-journal","abstract":"Understanding dietary patterns is vital to reducing the number of people experiencing hunger (about 795 million), micronutrient deficiencies (2 billion), and overweight or obesity (2.1 billion). We characterize global trends in dietary quality by estimating micronutrient density of the food supply, prevalence of inadequate intake of 14 micronutrients, and average prevalence of inadequate intake of these micronutrients for all countries between 1961 and 2011. Over this 50-year period, the estimated prevalence of inadequate intakes of micronutrients has declined in all regions due to increased total production of food and/or micronutrient density. This decline has been particularly strong in East and Southeast Asia and weaker in South Asia and sub-Saharan Africa. Sub-Saharan Africa is the only region where dietary micronutrient density has declined over this 50-year period. At the global level, micronutrients with the lowest levels of adequate estimated intake are calcium, iron, vitamin A, and zinc, but there are strong differences between countries and regions. Fortification has reduced the estimated prevalence of inadequate micronutrient intakes in all low-income regions, except South Asia. The food supply in many countries is still far below energy requirements, which suggests a need to increase the availability and accessibility of nutritious foods. Countries where the food energy supply is adequate show a very large variation in dietary quality, and in many of these countries people would benefit from more diverse diets with a greater proportion of micronutrient-dense foods. Dietary quality can be improved through fortification, biofortification, and agricultural diversification, as well as efforts to improve access to and use of micronutrient-dense foods and nutritional knowledge. Reducing poverty and increasing education, especially of women, are integral to sustainably addressing malnutrition.","container-title":"PLOS ONE","DOI":"10.1371/journal.pone.0175554","ISSN":"1932-6203","issue":"4","journalAbbreviation":"PLOS ONE","page":"e0175554","source":"PLoS Journals","title":"Global trends in dietary micronutrient supplies and estimated prevalence of inadequate intakes","volume":"12","author":[{"family":"Beal","given":"Ty"},{"family":"Massiot","given":"Eric"},{"family":"Arsenault","given":"Joanne E."},{"family":"Smith","given":"Matthew R."},{"family":"Hijmans","given":"Robert J."}],"issued":{"date-parts":[["2017",4,11]]}}},{"id":3938,"uris":["http://zotero.org/users/2850877/items/V3N3FEGV"],"itemData":{"id":3938,"type":"article-journal","abstract":"Access to high-quality dietary intake data is central to many nutrition, epidemiology, economic, environmental, and policy applications. When data on individual nutrient intakes are available, they have not been consistently disaggregated by sex and age groups, and their parameters and full distributions are often not publicly available.We sought to derive usual intake distributions for as many nutrients and population subgroups as possible, use these distributions to estimate nutrient intake inadequacy, compare these distributions and evaluate the implications of their shapes on the estimation of inadequacy, and make these distributions publicly available.We compiled dietary data sets from 31 geographically diverse countries, modeled usual intake distributions for 32 micronutrients and 21 macronutrients, and disaggregated these distributions by sex and age groups. We compared the variability and skewness of the distributions and evaluated their similarity across countries, sex, and age groups. We estimated intake inadequacy for 16 nutrients based on a harmonized set of nutrient requirements and bioavailability estimates. Last, we created an R package—nutriR—to make these distributions freely available for users to apply in their own analyses.Usual intake distributions were rarely symmetric and differed widely in variability and skewness across nutrients and countries. Vitamin intake distributions were more variable and skewed and exhibited less similarity among countries than other nutrients. Inadequate intakes were high and geographically concentrated, as well as generally higher for females than males. We found that the shape of usual intake distributions strongly affects estimates of the prevalence of inadequate intakes.The shape of nutrient intake distributions differs based on nutrient and subgroup and strongly influences estimates of nutrient intake inadequacy. This research represents an important contribution to the availability and application of dietary intake data for diverse subpopulations around the world.","container-title":"The American Journal of Clinical Nutrition","DOI":"10.1093/ajcn/nqac108","ISSN":"0002-9165","issue":"2","journalAbbreviation":"The American Journal of Clinical Nutrition","page":"551-560","source":"Silverchair","title":"Estimating national and subnational nutrient intake distributions of global diets","volume":"116","author":[{"family":"Passarelli","given":"Simone"},{"family":"Free","given":"Christopher M"},{"family":"Allen","given":"Lindsay H"},{"family":"Batis","given":"Carolina"},{"family":"Beal","given":"Ty"},{"family":"Biltoft-Jensen","given":"Anja Pia"},{"family":"Bromage","given":"Sabri"},{"family":"Cao","given":"Ling"},{"family":"Castellanos-Gutiérrez","given":"Analí"},{"family":"Christensen","given":"Tue"},{"family":"Crispim","given":"Sandra P"},{"family":"Dekkers","given":"Arnold"},{"family":"De Ridder","given":"Karin"},{"family":"Kronsteiner-Gicevic","given":"Selma"},{"family":"Lee","given":"Christopher"},{"family":"Li","given":"Yanping"},{"family":"Moursi","given":"Mourad"},{"family":"Moyersoen","given":"Isabelle"},{"family":"Schmidhuber","given":"Josef"},{"family":"Shepon","given":"Alon"},{"family":"Viana","given":"Daniel F"},{"family":"Golden","given":"Christopher D"}],"issued":{"date-parts":[["2022",8,1]]}}},{"id":4196,"uris":["http://zotero.org/users/2850877/items/TC9NPVYJ"],"itemData":{"id":4196,"type":"article-journal","abstract":"Eliminating both overt and hidden hunger is at the core of the global food and nutrition security agenda. Yet, the collective state of nutrition security at the population level is not known. Here we quantify food-based availability of 11 essential nutrients for 156 countries using a food production–consumption–nutrition model, followed by assessment of the nutrient availability status as a ratio of recommended intake. For the baseline year 2017, global per capita availability was adequate for calorie and protein but in severe deficit for vitamin A and calcium (intake ratios, &lt;0.60, where 1.0 is adequate) and moderate deficit for vitamin B12 (intake ratio, 0.76). At the country level, more than half of the 156 countries were in various degrees of deficit for all nine micronutrients. Disparities across regions or countries were enormous. We explore intervention strategies from an agriculture–food system perspective and discuss the daunting challenges of addressing nutrition security broadly.","container-title":"Nature Food","DOI":"10.1038/s43016-023-00851-5","ISSN":"2662-1355","journalAbbreviation":"Nat Food","language":"en","license":"2023 The Author(s), under exclusive licence to Springer Nature Limited","note":"publisher: Nature Publishing Group","page":"1-11","source":"www.nature.com","title":"Global food nutrients analysis reveals alarming gaps and daunting challenges","author":[{"family":"Wang","given":"Xiaozhong"},{"family":"Dou","given":"Zhengxia"},{"family":"Feng","given":"Shi"},{"family":"Zhang","given":"Yi"},{"family":"Ma","given":"Lin"},{"family":"Zou","given":"Chunqin"},{"family":"Bai","given":"Zhaohai"},{"family":"Lakshmanan","given":"Prakash"},{"family":"Shi","given":"Xiaojun"},{"family":"Liu","given":"Dunyi"},{"family":"Zhang","given":"Wei"},{"family":"Deng","given":"Yan"},{"family":"Zhang","given":"Wushuai"},{"family":"Chen","given":"Xuanjing"},{"family":"Zhang","given":"Fusuo"},{"family":"Chen","given":"Xinping"}],"issued":{"date-parts":[["2023",10,12]]}}}],"schema":"https://github.com/citation-style-language/schema/raw/master/csl-citation.json"} </w:instrText>
      </w:r>
      <w:r w:rsidR="00A544DE" w:rsidRPr="00F549CC">
        <w:rPr>
          <w:rFonts w:ascii="Times New Roman" w:hAnsi="Times New Roman" w:cs="Times New Roman"/>
        </w:rPr>
        <w:fldChar w:fldCharType="separate"/>
      </w:r>
      <w:r w:rsidR="009C0D3D" w:rsidRPr="009C0D3D">
        <w:rPr>
          <w:rFonts w:ascii="Times New Roman" w:hAnsi="Times New Roman" w:cs="Times New Roman"/>
          <w:kern w:val="0"/>
          <w:vertAlign w:val="superscript"/>
        </w:rPr>
        <w:t>23,25,26,35</w:t>
      </w:r>
      <w:r w:rsidR="00A544DE" w:rsidRPr="00F549CC">
        <w:rPr>
          <w:rFonts w:ascii="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i/>
        </w:rPr>
        <w:t>V</w:t>
      </w:r>
      <w:r>
        <w:rPr>
          <w:rFonts w:ascii="Times New Roman" w:eastAsia="Times New Roman" w:hAnsi="Times New Roman" w:cs="Times New Roman"/>
        </w:rPr>
        <w:t xml:space="preserve"> is the average of two sub scores—</w:t>
      </w:r>
      <w:r>
        <w:rPr>
          <w:rFonts w:ascii="Times New Roman" w:eastAsia="Times New Roman" w:hAnsi="Times New Roman" w:cs="Times New Roman"/>
          <w:i/>
        </w:rPr>
        <w:t>VE</w:t>
      </w:r>
      <w:r>
        <w:rPr>
          <w:rFonts w:ascii="Times New Roman" w:eastAsia="Times New Roman" w:hAnsi="Times New Roman" w:cs="Times New Roman"/>
        </w:rPr>
        <w:t xml:space="preserve"> and </w:t>
      </w:r>
      <w:r>
        <w:rPr>
          <w:rFonts w:ascii="Times New Roman" w:eastAsia="Times New Roman" w:hAnsi="Times New Roman" w:cs="Times New Roman"/>
          <w:i/>
        </w:rPr>
        <w:t>VM</w:t>
      </w:r>
      <w:r>
        <w:rPr>
          <w:rFonts w:ascii="Times New Roman" w:eastAsia="Times New Roman" w:hAnsi="Times New Roman" w:cs="Times New Roman"/>
        </w:rPr>
        <w:t xml:space="preserve">—each normalized between 1 and 100. </w:t>
      </w:r>
      <w:r>
        <w:rPr>
          <w:rFonts w:ascii="Times New Roman" w:eastAsia="Times New Roman" w:hAnsi="Times New Roman" w:cs="Times New Roman"/>
          <w:i/>
        </w:rPr>
        <w:t>VE</w:t>
      </w:r>
      <w:r>
        <w:rPr>
          <w:rFonts w:ascii="Times New Roman" w:eastAsia="Times New Roman" w:hAnsi="Times New Roman" w:cs="Times New Roman"/>
        </w:rPr>
        <w:t xml:space="preserve"> reflects the vitamin density per unit energy. </w:t>
      </w:r>
      <w:r>
        <w:rPr>
          <w:rFonts w:ascii="Times New Roman" w:eastAsia="Times New Roman" w:hAnsi="Times New Roman" w:cs="Times New Roman"/>
          <w:i/>
        </w:rPr>
        <w:t>VM</w:t>
      </w:r>
      <w:r>
        <w:rPr>
          <w:rFonts w:ascii="Times New Roman" w:eastAsia="Times New Roman" w:hAnsi="Times New Roman" w:cs="Times New Roman"/>
        </w:rPr>
        <w:t xml:space="preserve"> reflects the vitamin density per unit mass. Scoring foods per unit energy </w:t>
      </w:r>
      <w:r>
        <w:rPr>
          <w:rFonts w:ascii="Times New Roman" w:eastAsia="Times New Roman" w:hAnsi="Times New Roman" w:cs="Times New Roman"/>
          <w:i/>
        </w:rPr>
        <w:t>and</w:t>
      </w:r>
      <w:r>
        <w:rPr>
          <w:rFonts w:ascii="Times New Roman" w:eastAsia="Times New Roman" w:hAnsi="Times New Roman" w:cs="Times New Roman"/>
        </w:rPr>
        <w:t xml:space="preserve"> mass ensures foods low in energy or mass are not unduly favored in the overall score. </w:t>
      </w:r>
      <w:r>
        <w:rPr>
          <w:rFonts w:ascii="Times New Roman" w:eastAsia="Times New Roman" w:hAnsi="Times New Roman" w:cs="Times New Roman"/>
          <w:i/>
        </w:rPr>
        <w:t>VE</w:t>
      </w:r>
      <w:r>
        <w:rPr>
          <w:rFonts w:ascii="Times New Roman" w:eastAsia="Times New Roman" w:hAnsi="Times New Roman" w:cs="Times New Roman"/>
        </w:rPr>
        <w:t xml:space="preserve"> is calculated as follows:</w:t>
      </w:r>
    </w:p>
    <w:p w14:paraId="0FE05F33" w14:textId="77777777" w:rsidR="00C05F6D" w:rsidRDefault="00C05F6D">
      <w:pPr>
        <w:spacing w:line="480" w:lineRule="auto"/>
        <w:rPr>
          <w:rFonts w:ascii="Times New Roman" w:eastAsia="Times New Roman" w:hAnsi="Times New Roman" w:cs="Times New Roman"/>
        </w:rPr>
      </w:pPr>
    </w:p>
    <w:p w14:paraId="2DB0DDA1" w14:textId="2D8DAC2A" w:rsidR="00C05F6D" w:rsidRDefault="00000000">
      <w:pPr>
        <w:jc w:val="center"/>
        <w:rPr>
          <w:rFonts w:ascii="Cambria Math" w:eastAsia="Cambria Math" w:hAnsi="Cambria Math" w:cs="Cambria Math"/>
        </w:rPr>
      </w:pPr>
      <m:oMathPara>
        <m:oMath>
          <m:sSub>
            <m:sSubPr>
              <m:ctrlPr>
                <w:rPr>
                  <w:rFonts w:ascii="Cambria Math" w:hAnsi="Cambria Math" w:cs="Times New Roman"/>
                  <w:i/>
                </w:rPr>
              </m:ctrlPr>
            </m:sSubPr>
            <m:e>
              <m:r>
                <w:rPr>
                  <w:rFonts w:ascii="Cambria Math" w:hAnsi="Cambria Math" w:cs="Times New Roman"/>
                </w:rPr>
                <m:t>VE</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A</m:t>
              </m:r>
            </m:den>
          </m:f>
          <m:nary>
            <m:naryPr>
              <m:chr m:val="∑"/>
              <m:limLoc m:val="undOvr"/>
              <m:supHide m:val="1"/>
              <m:ctrlPr>
                <w:rPr>
                  <w:rFonts w:ascii="Cambria Math" w:hAnsi="Cambria Math" w:cs="Times New Roman"/>
                  <w:i/>
                </w:rPr>
              </m:ctrlPr>
            </m:naryPr>
            <m:sub>
              <m:r>
                <w:rPr>
                  <w:rFonts w:ascii="Cambria Math" w:hAnsi="Cambria Math" w:cs="Times New Roman"/>
                </w:rPr>
                <m:t>a ∈ A</m:t>
              </m:r>
            </m:sub>
            <m:sup/>
            <m:e>
              <m:r>
                <m:rPr>
                  <m:sty m:val="p"/>
                </m:rPr>
                <w:rPr>
                  <w:rFonts w:ascii="Cambria Math" w:hAnsi="Cambria Math" w:cs="Times New Roman"/>
                </w:rPr>
                <m:t>min⁡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ve</m:t>
                  </m:r>
                </m:e>
                <m:sub>
                  <m:r>
                    <w:rPr>
                      <w:rFonts w:ascii="Cambria Math" w:hAnsi="Cambria Math" w:cs="Times New Roman"/>
                    </w:rPr>
                    <m:t>a,i</m:t>
                  </m:r>
                </m:sub>
              </m:sSub>
              <m:r>
                <w:rPr>
                  <w:rFonts w:ascii="Cambria Math" w:hAnsi="Cambria Math" w:cs="Times New Roman"/>
                </w:rPr>
                <m:t xml:space="preserve">,  </m:t>
              </m:r>
            </m:e>
          </m:nary>
          <m:r>
            <w:rPr>
              <w:rFonts w:ascii="Cambria Math" w:hAnsi="Cambria Math" w:cs="Times New Roman"/>
            </w:rPr>
            <m:t xml:space="preserve"> 1}</m:t>
          </m:r>
        </m:oMath>
      </m:oMathPara>
    </w:p>
    <w:p w14:paraId="75332281" w14:textId="77777777" w:rsidR="00C05F6D" w:rsidRDefault="00C05F6D">
      <w:pPr>
        <w:spacing w:line="480" w:lineRule="auto"/>
        <w:rPr>
          <w:rFonts w:ascii="Times New Roman" w:eastAsia="Times New Roman" w:hAnsi="Times New Roman" w:cs="Times New Roman"/>
        </w:rPr>
      </w:pPr>
    </w:p>
    <w:p w14:paraId="45BFB7D5" w14:textId="64346B01"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where </w:t>
      </w:r>
      <w:r>
        <w:rPr>
          <w:rFonts w:ascii="Times New Roman" w:eastAsia="Times New Roman" w:hAnsi="Times New Roman" w:cs="Times New Roman"/>
          <w:i/>
        </w:rPr>
        <w:t>ve</w:t>
      </w:r>
      <w:r>
        <w:rPr>
          <w:rFonts w:ascii="Times New Roman" w:eastAsia="Times New Roman" w:hAnsi="Times New Roman" w:cs="Times New Roman"/>
        </w:rPr>
        <w:t xml:space="preserve"> is the proportion of recommended nutrient intakes (RNIs) for each of the 11 vitamins (</w:t>
      </w:r>
      <w:r>
        <w:rPr>
          <w:rFonts w:ascii="Times New Roman" w:eastAsia="Times New Roman" w:hAnsi="Times New Roman" w:cs="Times New Roman"/>
          <w:i/>
        </w:rPr>
        <w:t>A</w:t>
      </w:r>
      <w:r>
        <w:rPr>
          <w:rFonts w:ascii="Times New Roman" w:eastAsia="Times New Roman" w:hAnsi="Times New Roman" w:cs="Times New Roman"/>
        </w:rPr>
        <w:t>) provided in 300 Calories of each food (</w:t>
      </w:r>
      <w:r>
        <w:rPr>
          <w:rFonts w:ascii="Times New Roman" w:eastAsia="Times New Roman" w:hAnsi="Times New Roman" w:cs="Times New Roman"/>
          <w:i/>
        </w:rPr>
        <w:t>i</w:t>
      </w:r>
      <w:r>
        <w:rPr>
          <w:rFonts w:ascii="Times New Roman" w:eastAsia="Times New Roman" w:hAnsi="Times New Roman" w:cs="Times New Roman"/>
        </w:rPr>
        <w:t xml:space="preserve">). Each vitamin’s contribution to </w:t>
      </w:r>
      <w:r>
        <w:rPr>
          <w:rFonts w:ascii="Times New Roman" w:eastAsia="Times New Roman" w:hAnsi="Times New Roman" w:cs="Times New Roman"/>
          <w:i/>
        </w:rPr>
        <w:t>VE</w:t>
      </w:r>
      <w:r>
        <w:rPr>
          <w:rFonts w:ascii="Times New Roman" w:eastAsia="Times New Roman" w:hAnsi="Times New Roman" w:cs="Times New Roman"/>
        </w:rPr>
        <w:t xml:space="preserve"> per 300 Calories was capped at the RNI to prevent foods very high in one vitamin from inflating the score.</w:t>
      </w:r>
      <w:r>
        <w:t xml:space="preserve"> </w:t>
      </w:r>
      <w:r>
        <w:rPr>
          <w:rFonts w:ascii="Times New Roman" w:eastAsia="Times New Roman" w:hAnsi="Times New Roman" w:cs="Times New Roman"/>
        </w:rPr>
        <w:t>Although the</w:t>
      </w:r>
      <w:r>
        <w:t xml:space="preserve"> </w:t>
      </w:r>
      <w:r>
        <w:rPr>
          <w:rFonts w:ascii="Times New Roman" w:eastAsia="Times New Roman" w:hAnsi="Times New Roman" w:cs="Times New Roman"/>
        </w:rPr>
        <w:t>chosen reference amount is arbitrary (as for all nutrient profiling systems), 300 Calories corresponds to about 13% of average energy requirements for moderately active individuals</w:t>
      </w:r>
      <w:r w:rsidR="00187A02" w:rsidRPr="00F549CC">
        <w:rPr>
          <w:rFonts w:ascii="Times New Roman" w:hAnsi="Times New Roman" w:cs="Times New Roman"/>
        </w:rPr>
        <w:fldChar w:fldCharType="begin"/>
      </w:r>
      <w:r w:rsidR="009C0D3D">
        <w:rPr>
          <w:rFonts w:ascii="Times New Roman" w:hAnsi="Times New Roman" w:cs="Times New Roman"/>
        </w:rPr>
        <w:instrText xml:space="preserve"> ADDIN ZOTERO_ITEM CSL_CITATION {"citationID":"QYoogYd3","properties":{"formattedCitation":"\\super 36\\nosupersub{}","plainCitation":"36","noteIndex":0},"citationItems":[{"id":"1wjoFLaO/8M6suf3j","uris":["http://zotero.org/users/7459384/items/PRND9IK7"],"itemData":{"id":249,"type":"report","collection-title":"EFSA Supporting Publications","language":"en","note":"section: Scientific outputs","number":"14","title":"Dietary Reference Values for nutrients Summary report","URL":"https://www.efsa.europa.eu/en/supporting/pub/e15121","author":[{"family":"European Food Safety Authority (EFSA)","given":""}],"accessed":{"date-parts":[["2021",8,18]]},"issued":{"date-parts":[["2017"]]}}}],"schema":"https://github.com/citation-style-language/schema/raw/master/csl-citation.json"} </w:instrText>
      </w:r>
      <w:r w:rsidR="00187A02" w:rsidRPr="00F549CC">
        <w:rPr>
          <w:rFonts w:ascii="Times New Roman" w:hAnsi="Times New Roman" w:cs="Times New Roman"/>
        </w:rPr>
        <w:fldChar w:fldCharType="separate"/>
      </w:r>
      <w:r w:rsidR="009C0D3D" w:rsidRPr="009C0D3D">
        <w:rPr>
          <w:rFonts w:ascii="Times New Roman" w:hAnsi="Times New Roman" w:cs="Times New Roman"/>
          <w:kern w:val="0"/>
          <w:vertAlign w:val="superscript"/>
        </w:rPr>
        <w:t>36</w:t>
      </w:r>
      <w:r w:rsidR="00187A02" w:rsidRPr="00F549CC">
        <w:rPr>
          <w:rFonts w:ascii="Times New Roman" w:hAnsi="Times New Roman" w:cs="Times New Roman"/>
        </w:rPr>
        <w:fldChar w:fldCharType="end"/>
      </w:r>
      <w:r>
        <w:rPr>
          <w:rFonts w:ascii="Times New Roman" w:eastAsia="Times New Roman" w:hAnsi="Times New Roman" w:cs="Times New Roman"/>
        </w:rPr>
        <w:t>, which represents a relatively plausible amount of energy to obtain from a single food in one day (except for low-Calorie foods).</w:t>
      </w:r>
    </w:p>
    <w:p w14:paraId="66FC41B7" w14:textId="77777777" w:rsidR="00C05F6D" w:rsidRDefault="00C05F6D">
      <w:pPr>
        <w:spacing w:line="480" w:lineRule="auto"/>
        <w:rPr>
          <w:rFonts w:ascii="Times New Roman" w:eastAsia="Times New Roman" w:hAnsi="Times New Roman" w:cs="Times New Roman"/>
        </w:rPr>
      </w:pPr>
    </w:p>
    <w:p w14:paraId="7671F36D" w14:textId="7D1FBCF2" w:rsidR="00C05F6D" w:rsidRDefault="000D22B3">
      <w:pPr>
        <w:spacing w:line="480" w:lineRule="auto"/>
        <w:rPr>
          <w:rFonts w:ascii="Times New Roman" w:eastAsia="Times New Roman" w:hAnsi="Times New Roman" w:cs="Times New Roman"/>
          <w:b/>
        </w:rPr>
      </w:pPr>
      <w:r>
        <w:rPr>
          <w:rFonts w:ascii="Times New Roman" w:eastAsia="Times New Roman" w:hAnsi="Times New Roman" w:cs="Times New Roman"/>
          <w:i/>
        </w:rPr>
        <w:t>VM</w:t>
      </w:r>
      <w:r>
        <w:rPr>
          <w:rFonts w:ascii="Times New Roman" w:eastAsia="Times New Roman" w:hAnsi="Times New Roman" w:cs="Times New Roman"/>
        </w:rPr>
        <w:t xml:space="preserve"> is calculated the same as </w:t>
      </w:r>
      <w:r>
        <w:rPr>
          <w:rFonts w:ascii="Times New Roman" w:eastAsia="Times New Roman" w:hAnsi="Times New Roman" w:cs="Times New Roman"/>
          <w:i/>
        </w:rPr>
        <w:t>VE</w:t>
      </w:r>
      <w:r>
        <w:rPr>
          <w:rFonts w:ascii="Times New Roman" w:eastAsia="Times New Roman" w:hAnsi="Times New Roman" w:cs="Times New Roman"/>
        </w:rPr>
        <w:t xml:space="preserve"> but per 231 g of each food. This quantity was calculated by dividing 300 Calories by 1.3 Calories/g (the mean energy density of a minimally processed plant-based, low-fat diet and an animal-based, ketogenic diet)</w:t>
      </w:r>
      <w:r w:rsidR="00C956A3" w:rsidRPr="00F549CC">
        <w:rPr>
          <w:rFonts w:ascii="Times New Roman" w:hAnsi="Times New Roman" w:cs="Times New Roman"/>
        </w:rPr>
        <w:fldChar w:fldCharType="begin"/>
      </w:r>
      <w:r w:rsidR="009C0D3D">
        <w:rPr>
          <w:rFonts w:ascii="Times New Roman" w:hAnsi="Times New Roman" w:cs="Times New Roman"/>
        </w:rPr>
        <w:instrText xml:space="preserve"> ADDIN ZOTERO_ITEM CSL_CITATION {"citationID":"Ibc7ggEh","properties":{"formattedCitation":"\\super 37\\nosupersub{}","plainCitation":"37","noteIndex":0},"citationItems":[{"id":"1wjoFLaO/r8VjFMUh","uris":["http://zotero.org/users/7459384/items/CEEJUJKN"],"itemData":{"id":250,"type":"article-journal","abstract":"The carbohydrate–insulin model of obesity posits that high-carbohydrate diets lead to excess insulin secretion, thereby promoting fat accumulation and increasing energy intake. Thus, low-carbohydrate diets are predicted to reduce ad libitum energy intake as compared to low-fat, high-carbohydrate diets. To test this hypothesis, 20 adults aged 29.9 ± 1.4 (mean ± s.e.m.) years with body mass index of 27.8 ± 1.3 kg m−2 were admitted as inpatients to the National Institutes of Health Clinical Center and randomized to consume ad libitum either a minimally processed, plant-based, low-fat diet (10.3% fat, 75.2% carbohydrate) with high glycemic load (85 g 1,000 kcal−1) or a minimally processed, animal-based, ketogenic, low-carbohydrate diet (75.8% fat, 10.0% carbohydrate) with low glycemic load (6 g 1,000 kcal−1) for 2 weeks followed immediately by the alternate diet for 2 weeks. One participant withdrew due to hypoglycemia during the low-carbohydrate diet. The primary outcomes compared mean daily ad libitum energy intake between each 2-week diet period as well as between the final week of each diet. We found that the low-fat diet led to 689 ± 73 kcal d−1 less energy intake than the low-carbohydrate diet over 2 weeks (P &lt; 0.0001) and 544 ± 68 kcal d−1 less over the final week (P &lt; 0.0001). Therefore, the predictions of the carbohydrate–insulin model were inconsistent with our observations. This study was registered on ClinicalTrials.gov as NCT03878108.","container-title":"Nature Medicine","DOI":"10.1038/s41591-020-01209-1","ISSN":"1546-170X","issue":"2","journalAbbreviation":"Nat Med","language":"en","license":"2021 This is a U.S. government work and not under copyright protection in the U.S.; foreign copyright protection may apply","note":"Bandiera_abtest: a\nCg_type: Nature Research Journals\nnumber: 2\nPrimary_atype: Research\npublisher: Nature Publishing Group\nSubject_term: Fat metabolism;Feeding behaviour;Obesity\nSubject_term_id: fat-metabolism;feeding-behaviour;obesity","page":"344-353","source":"www.nature.com","title":"Effect of a plant-based, low-fat diet versus an animal-based, ketogenic diet on ad libitum energy intake","volume":"27","author":[{"family":"Hall","given":"Kevin D."},{"family":"Guo","given":"Juen"},{"family":"Courville","given":"Amber B."},{"family":"Boring","given":"James"},{"family":"Brychta","given":"Robert"},{"family":"Chen","given":"Kong Y."},{"family":"Darcey","given":"Valerie"},{"family":"Forde","given":"Ciaran G."},{"family":"Gharib","given":"Ahmed M."},{"family":"Gallagher","given":"Isabelle"},{"family":"Howard","given":"Rebecca"},{"family":"Joseph","given":"Paule V."},{"family":"Milley","given":"Lauren"},{"family":"Ouwerkerk","given":"Ronald"},{"family":"Raisinger","given":"Klaudia"},{"family":"Rozga","given":"Irene"},{"family":"Schick","given":"Alex"},{"family":"Stagliano","given":"Michael"},{"family":"Torres","given":"Stephan"},{"family":"Walter","given":"Mary"},{"family":"Walter","given":"Peter"},{"family":"Yang","given":"Shanna"},{"family":"Chung","given":"Stephanie T."}],"issued":{"date-parts":[["2021",2]]}}}],"schema":"https://github.com/citation-style-language/schema/raw/master/csl-citation.json"} </w:instrText>
      </w:r>
      <w:r w:rsidR="00C956A3" w:rsidRPr="00F549CC">
        <w:rPr>
          <w:rFonts w:ascii="Times New Roman" w:hAnsi="Times New Roman" w:cs="Times New Roman"/>
        </w:rPr>
        <w:fldChar w:fldCharType="separate"/>
      </w:r>
      <w:r w:rsidR="009C0D3D" w:rsidRPr="009C0D3D">
        <w:rPr>
          <w:rFonts w:ascii="Times New Roman" w:hAnsi="Times New Roman" w:cs="Times New Roman"/>
          <w:kern w:val="0"/>
          <w:vertAlign w:val="superscript"/>
        </w:rPr>
        <w:t>37</w:t>
      </w:r>
      <w:r w:rsidR="00C956A3" w:rsidRPr="00F549CC">
        <w:rPr>
          <w:rFonts w:ascii="Times New Roman" w:hAnsi="Times New Roman" w:cs="Times New Roman"/>
        </w:rPr>
        <w:fldChar w:fldCharType="end"/>
      </w:r>
      <w:r>
        <w:rPr>
          <w:rFonts w:ascii="Times New Roman" w:eastAsia="Times New Roman" w:hAnsi="Times New Roman" w:cs="Times New Roman"/>
        </w:rPr>
        <w:t>.</w:t>
      </w:r>
    </w:p>
    <w:p w14:paraId="0C9496A9" w14:textId="77777777" w:rsidR="00C05F6D" w:rsidRDefault="00C05F6D">
      <w:pPr>
        <w:spacing w:line="480" w:lineRule="auto"/>
        <w:rPr>
          <w:rFonts w:ascii="Times New Roman" w:eastAsia="Times New Roman" w:hAnsi="Times New Roman" w:cs="Times New Roman"/>
          <w:b/>
        </w:rPr>
      </w:pPr>
    </w:p>
    <w:p w14:paraId="3B6480D3" w14:textId="77777777" w:rsidR="00C05F6D" w:rsidRDefault="000D22B3">
      <w:pPr>
        <w:spacing w:line="480" w:lineRule="auto"/>
        <w:rPr>
          <w:rFonts w:ascii="Times New Roman" w:eastAsia="Times New Roman" w:hAnsi="Times New Roman" w:cs="Times New Roman"/>
          <w:b/>
        </w:rPr>
      </w:pPr>
      <w:r>
        <w:rPr>
          <w:rFonts w:ascii="Times New Roman" w:eastAsia="Times New Roman" w:hAnsi="Times New Roman" w:cs="Times New Roman"/>
          <w:b/>
        </w:rPr>
        <w:t>Minerals</w:t>
      </w:r>
    </w:p>
    <w:p w14:paraId="19AEF7AB" w14:textId="41DB29C7"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t>The mineral score (</w:t>
      </w:r>
      <w:r>
        <w:rPr>
          <w:rFonts w:ascii="Times New Roman" w:eastAsia="Times New Roman" w:hAnsi="Times New Roman" w:cs="Times New Roman"/>
          <w:i/>
        </w:rPr>
        <w:t>M</w:t>
      </w:r>
      <w:r>
        <w:rPr>
          <w:rFonts w:ascii="Times New Roman" w:eastAsia="Times New Roman" w:hAnsi="Times New Roman" w:cs="Times New Roman"/>
        </w:rPr>
        <w:t xml:space="preserve">) reflects the quantity and quality of five </w:t>
      </w:r>
      <w:r w:rsidR="0074339E">
        <w:rPr>
          <w:rFonts w:ascii="Times New Roman" w:eastAsia="Times New Roman" w:hAnsi="Times New Roman" w:cs="Times New Roman"/>
        </w:rPr>
        <w:t xml:space="preserve">protective </w:t>
      </w:r>
      <w:r>
        <w:rPr>
          <w:rFonts w:ascii="Times New Roman" w:eastAsia="Times New Roman" w:hAnsi="Times New Roman" w:cs="Times New Roman"/>
        </w:rPr>
        <w:t>minerals of public health priority: iron, zinc, calcium, potassium, and magnesium. Low supply, low intake, or deficiency of these minerals is common worldwide</w:t>
      </w:r>
      <w:r w:rsidR="001F3F54" w:rsidRPr="00F549CC">
        <w:rPr>
          <w:rFonts w:ascii="Times New Roman" w:hAnsi="Times New Roman" w:cs="Times New Roman"/>
        </w:rPr>
        <w:fldChar w:fldCharType="begin"/>
      </w:r>
      <w:r w:rsidR="009C0D3D">
        <w:rPr>
          <w:rFonts w:ascii="Times New Roman" w:hAnsi="Times New Roman" w:cs="Times New Roman"/>
        </w:rPr>
        <w:instrText xml:space="preserve"> ADDIN ZOTERO_ITEM CSL_CITATION {"citationID":"xmrzx6Hr","properties":{"formattedCitation":"\\super 23,25,26,35\\nosupersub{}","plainCitation":"23,25,26,35","noteIndex":0},"citationItems":[{"id":3927,"uris":["http://zotero.org/users/2850877/items/SMPKFMEL"],"itemData":{"id":3927,"type":"article-journal","container-title":"The Lancet Global Health","DOI":"10.1016/S2214-109X(22)00367-9","ISSN":"2214-109X","issue":"11","journalAbbreviation":"The Lancet Global Health","language":"English","note":"publisher: Elsevier\nPMID: 36240826","page":"e1590-e1599","source":"www.thelancet.com","title":"Micronutrient deficiencies among preschool-aged children and women of reproductive age worldwide: a pooled analysis of individual-level data from population-representative surveys","title-short":"Micronutrient deficiencies among preschool-aged children and women of reproductive age worldwide","volume":"10","author":[{"family":"Stevens","given":"Gretchen A."},{"family":"Beal","given":"Ty"},{"family":"Mbuya","given":"Mduduzi N. N."},{"family":"Luo","given":"Hanqi"},{"family":"Neufeld","given":"Lynnette M."},{"family":"Addo","given":"O. Yaw"},{"family":"Adu-Afarwuah","given":"Seth"},{"family":"Alayón","given":"Silvia"},{"family":"Bhutta","given":"Zulfiqar"},{"family":"Brown","given":"Kenneth H."},{"family":"Jefferds","given":"Maria Elena"},{"family":"Engle-Stone","given":"Reina"},{"family":"Fawzi","given":"Wafaie"},{"family":"Hess","given":"Sonja Y."},{"family":"Johnston","given":"Robert"},{"family":"Katz","given":"Joanne"},{"family":"Krasevec","given":"Julia"},{"family":"McDonald","given":"Christine M."},{"family":"Mei","given":"Zuguo"},{"family":"Osendarp","given":"Saskia"},{"family":"Paciorek","given":"Christopher J."},{"family":"Petry","given":"Nicolai"},{"family":"Pfeiffer","given":"Christine M."},{"family":"Ramirez-Luzuriaga","given":"Maria J."},{"family":"Rogers","given":"Lisa M."},{"family":"Rohner","given":"Fabian"},{"family":"Sethi","given":"Vani"},{"family":"Suchdev","given":"Parminder S."},{"family":"Tessema","given":"Masresha"},{"family":"Villapando","given":"Salvador"},{"family":"Wieringa","given":"Frank T."},{"family":"Williams","given":"Anne M."},{"family":"Woldeyahannes","given":"Meseret"},{"family":"Young","given":"Melissa F."}],"issued":{"date-parts":[["2022",11,1]]}}},{"id":1023,"uris":["http://zotero.org/users/2850877/items/KQ6X3IGT"],"itemData":{"id":1023,"type":"article-journal","abstract":"Understanding dietary patterns is vital to reducing the number of people experiencing hunger (about 795 million), micronutrient deficiencies (2 billion), and overweight or obesity (2.1 billion). We characterize global trends in dietary quality by estimating micronutrient density of the food supply, prevalence of inadequate intake of 14 micronutrients, and average prevalence of inadequate intake of these micronutrients for all countries between 1961 and 2011. Over this 50-year period, the estimated prevalence of inadequate intakes of micronutrients has declined in all regions due to increased total production of food and/or micronutrient density. This decline has been particularly strong in East and Southeast Asia and weaker in South Asia and sub-Saharan Africa. Sub-Saharan Africa is the only region where dietary micronutrient density has declined over this 50-year period. At the global level, micronutrients with the lowest levels of adequate estimated intake are calcium, iron, vitamin A, and zinc, but there are strong differences between countries and regions. Fortification has reduced the estimated prevalence of inadequate micronutrient intakes in all low-income regions, except South Asia. The food supply in many countries is still far below energy requirements, which suggests a need to increase the availability and accessibility of nutritious foods. Countries where the food energy supply is adequate show a very large variation in dietary quality, and in many of these countries people would benefit from more diverse diets with a greater proportion of micronutrient-dense foods. Dietary quality can be improved through fortification, biofortification, and agricultural diversification, as well as efforts to improve access to and use of micronutrient-dense foods and nutritional knowledge. Reducing poverty and increasing education, especially of women, are integral to sustainably addressing malnutrition.","container-title":"PLOS ONE","DOI":"10.1371/journal.pone.0175554","ISSN":"1932-6203","issue":"4","journalAbbreviation":"PLOS ONE","page":"e0175554","source":"PLoS Journals","title":"Global trends in dietary micronutrient supplies and estimated prevalence of inadequate intakes","volume":"12","author":[{"family":"Beal","given":"Ty"},{"family":"Massiot","given":"Eric"},{"family":"Arsenault","given":"Joanne E."},{"family":"Smith","given":"Matthew R."},{"family":"Hijmans","given":"Robert J."}],"issued":{"date-parts":[["2017",4,11]]}}},{"id":3938,"uris":["http://zotero.org/users/2850877/items/V3N3FEGV"],"itemData":{"id":3938,"type":"article-journal","abstract":"Access to high-quality dietary intake data is central to many nutrition, epidemiology, economic, environmental, and policy applications. When data on individual nutrient intakes are available, they have not been consistently disaggregated by sex and age groups, and their parameters and full distributions are often not publicly available.We sought to derive usual intake distributions for as many nutrients and population subgroups as possible, use these distributions to estimate nutrient intake inadequacy, compare these distributions and evaluate the implications of their shapes on the estimation of inadequacy, and make these distributions publicly available.We compiled dietary data sets from 31 geographically diverse countries, modeled usual intake distributions for 32 micronutrients and 21 macronutrients, and disaggregated these distributions by sex and age groups. We compared the variability and skewness of the distributions and evaluated their similarity across countries, sex, and age groups. We estimated intake inadequacy for 16 nutrients based on a harmonized set of nutrient requirements and bioavailability estimates. Last, we created an R package—nutriR—to make these distributions freely available for users to apply in their own analyses.Usual intake distributions were rarely symmetric and differed widely in variability and skewness across nutrients and countries. Vitamin intake distributions were more variable and skewed and exhibited less similarity among countries than other nutrients. Inadequate intakes were high and geographically concentrated, as well as generally higher for females than males. We found that the shape of usual intake distributions strongly affects estimates of the prevalence of inadequate intakes.The shape of nutrient intake distributions differs based on nutrient and subgroup and strongly influences estimates of nutrient intake inadequacy. This research represents an important contribution to the availability and application of dietary intake data for diverse subpopulations around the world.","container-title":"The American Journal of Clinical Nutrition","DOI":"10.1093/ajcn/nqac108","ISSN":"0002-9165","issue":"2","journalAbbreviation":"The American Journal of Clinical Nutrition","page":"551-560","source":"Silverchair","title":"Estimating national and subnational nutrient intake distributions of global diets","volume":"116","author":[{"family":"Passarelli","given":"Simone"},{"family":"Free","given":"Christopher M"},{"family":"Allen","given":"Lindsay H"},{"family":"Batis","given":"Carolina"},{"family":"Beal","given":"Ty"},{"family":"Biltoft-Jensen","given":"Anja Pia"},{"family":"Bromage","given":"Sabri"},{"family":"Cao","given":"Ling"},{"family":"Castellanos-Gutiérrez","given":"Analí"},{"family":"Christensen","given":"Tue"},{"family":"Crispim","given":"Sandra P"},{"family":"Dekkers","given":"Arnold"},{"family":"De Ridder","given":"Karin"},{"family":"Kronsteiner-Gicevic","given":"Selma"},{"family":"Lee","given":"Christopher"},{"family":"Li","given":"Yanping"},{"family":"Moursi","given":"Mourad"},{"family":"Moyersoen","given":"Isabelle"},{"family":"Schmidhuber","given":"Josef"},{"family":"Shepon","given":"Alon"},{"family":"Viana","given":"Daniel F"},{"family":"Golden","given":"Christopher D"}],"issued":{"date-parts":[["2022",8,1]]}}},{"id":4196,"uris":["http://zotero.org/users/2850877/items/TC9NPVYJ"],"itemData":{"id":4196,"type":"article-journal","abstract":"Eliminating both overt and hidden hunger is at the core of the global food and nutrition security agenda. Yet, the collective state of nutrition security at the population level is not known. Here we quantify food-based availability of 11 essential nutrients for 156 countries using a food production–consumption–nutrition model, followed by assessment of the nutrient availability status as a ratio of recommended intake. For the baseline year 2017, global per capita availability was adequate for calorie and protein but in severe deficit for vitamin A and calcium (intake ratios, &lt;0.60, where 1.0 is adequate) and moderate deficit for vitamin B12 (intake ratio, 0.76). At the country level, more than half of the 156 countries were in various degrees of deficit for all nine micronutrients. Disparities across regions or countries were enormous. We explore intervention strategies from an agriculture–food system perspective and discuss the daunting challenges of addressing nutrition security broadly.","container-title":"Nature Food","DOI":"10.1038/s43016-023-00851-5","ISSN":"2662-1355","journalAbbreviation":"Nat Food","language":"en","license":"2023 The Author(s), under exclusive licence to Springer Nature Limited","note":"publisher: Nature Publishing Group","page":"1-11","source":"www.nature.com","title":"Global food nutrients analysis reveals alarming gaps and daunting challenges","author":[{"family":"Wang","given":"Xiaozhong"},{"family":"Dou","given":"Zhengxia"},{"family":"Feng","given":"Shi"},{"family":"Zhang","given":"Yi"},{"family":"Ma","given":"Lin"},{"family":"Zou","given":"Chunqin"},{"family":"Bai","given":"Zhaohai"},{"family":"Lakshmanan","given":"Prakash"},{"family":"Shi","given":"Xiaojun"},{"family":"Liu","given":"Dunyi"},{"family":"Zhang","given":"Wei"},{"family":"Deng","given":"Yan"},{"family":"Zhang","given":"Wushuai"},{"family":"Chen","given":"Xuanjing"},{"family":"Zhang","given":"Fusuo"},{"family":"Chen","given":"Xinping"}],"issued":{"date-parts":[["2023",10,12]]}}}],"schema":"https://github.com/citation-style-language/schema/raw/master/csl-citation.json"} </w:instrText>
      </w:r>
      <w:r w:rsidR="001F3F54" w:rsidRPr="00F549CC">
        <w:rPr>
          <w:rFonts w:ascii="Times New Roman" w:hAnsi="Times New Roman" w:cs="Times New Roman"/>
        </w:rPr>
        <w:fldChar w:fldCharType="separate"/>
      </w:r>
      <w:r w:rsidR="009C0D3D" w:rsidRPr="009C0D3D">
        <w:rPr>
          <w:rFonts w:ascii="Times New Roman" w:hAnsi="Times New Roman" w:cs="Times New Roman"/>
          <w:kern w:val="0"/>
          <w:vertAlign w:val="superscript"/>
        </w:rPr>
        <w:t>23,25,26,35</w:t>
      </w:r>
      <w:r w:rsidR="001F3F54" w:rsidRPr="00F549CC">
        <w:rPr>
          <w:rFonts w:ascii="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i/>
        </w:rPr>
        <w:t>M</w:t>
      </w:r>
      <w:r>
        <w:rPr>
          <w:rFonts w:ascii="Times New Roman" w:eastAsia="Times New Roman" w:hAnsi="Times New Roman" w:cs="Times New Roman"/>
        </w:rPr>
        <w:t xml:space="preserve"> is the average of two sub scores—</w:t>
      </w:r>
      <w:r>
        <w:rPr>
          <w:rFonts w:ascii="Times New Roman" w:eastAsia="Times New Roman" w:hAnsi="Times New Roman" w:cs="Times New Roman"/>
          <w:i/>
        </w:rPr>
        <w:t>ME</w:t>
      </w:r>
      <w:r>
        <w:rPr>
          <w:rFonts w:ascii="Times New Roman" w:eastAsia="Times New Roman" w:hAnsi="Times New Roman" w:cs="Times New Roman"/>
        </w:rPr>
        <w:t xml:space="preserve"> and </w:t>
      </w:r>
      <w:r>
        <w:rPr>
          <w:rFonts w:ascii="Times New Roman" w:eastAsia="Times New Roman" w:hAnsi="Times New Roman" w:cs="Times New Roman"/>
          <w:i/>
        </w:rPr>
        <w:t>MM</w:t>
      </w:r>
      <w:r>
        <w:rPr>
          <w:rFonts w:ascii="Times New Roman" w:eastAsia="Times New Roman" w:hAnsi="Times New Roman" w:cs="Times New Roman"/>
        </w:rPr>
        <w:t xml:space="preserve">—each normalized between 1 and 100. </w:t>
      </w:r>
      <w:r>
        <w:rPr>
          <w:rFonts w:ascii="Times New Roman" w:eastAsia="Times New Roman" w:hAnsi="Times New Roman" w:cs="Times New Roman"/>
          <w:i/>
        </w:rPr>
        <w:t>ME</w:t>
      </w:r>
      <w:r>
        <w:rPr>
          <w:rFonts w:ascii="Times New Roman" w:eastAsia="Times New Roman" w:hAnsi="Times New Roman" w:cs="Times New Roman"/>
        </w:rPr>
        <w:t xml:space="preserve"> reflects the mineral density per unit energy. </w:t>
      </w:r>
      <w:r>
        <w:rPr>
          <w:rFonts w:ascii="Times New Roman" w:eastAsia="Times New Roman" w:hAnsi="Times New Roman" w:cs="Times New Roman"/>
          <w:i/>
        </w:rPr>
        <w:t>MM</w:t>
      </w:r>
      <w:r>
        <w:rPr>
          <w:rFonts w:ascii="Times New Roman" w:eastAsia="Times New Roman" w:hAnsi="Times New Roman" w:cs="Times New Roman"/>
        </w:rPr>
        <w:t xml:space="preserve"> reflects the mineral density per unit mass. </w:t>
      </w:r>
      <w:r>
        <w:rPr>
          <w:rFonts w:ascii="Times New Roman" w:eastAsia="Times New Roman" w:hAnsi="Times New Roman" w:cs="Times New Roman"/>
          <w:i/>
        </w:rPr>
        <w:t>ME</w:t>
      </w:r>
      <w:r>
        <w:rPr>
          <w:rFonts w:ascii="Times New Roman" w:eastAsia="Times New Roman" w:hAnsi="Times New Roman" w:cs="Times New Roman"/>
        </w:rPr>
        <w:t xml:space="preserve"> is calculated as follows:</w:t>
      </w:r>
    </w:p>
    <w:p w14:paraId="68602CDE" w14:textId="77777777" w:rsidR="00C05F6D" w:rsidRDefault="00C05F6D">
      <w:pPr>
        <w:spacing w:line="480" w:lineRule="auto"/>
        <w:rPr>
          <w:rFonts w:ascii="Times New Roman" w:eastAsia="Times New Roman" w:hAnsi="Times New Roman" w:cs="Times New Roman"/>
        </w:rPr>
      </w:pPr>
    </w:p>
    <w:p w14:paraId="4CA62101" w14:textId="0C8F5BE5" w:rsidR="00C05F6D" w:rsidRDefault="00000000">
      <w:pPr>
        <w:jc w:val="center"/>
        <w:rPr>
          <w:rFonts w:ascii="Cambria Math" w:eastAsia="Cambria Math" w:hAnsi="Cambria Math" w:cs="Cambria Math"/>
        </w:rPr>
      </w:pPr>
      <m:oMathPara>
        <m:oMath>
          <m:sSub>
            <m:sSubPr>
              <m:ctrlPr>
                <w:rPr>
                  <w:rFonts w:ascii="Cambria Math" w:hAnsi="Cambria Math" w:cs="Times New Roman"/>
                  <w:i/>
                </w:rPr>
              </m:ctrlPr>
            </m:sSubPr>
            <m:e>
              <m:r>
                <w:rPr>
                  <w:rFonts w:ascii="Cambria Math" w:hAnsi="Cambria Math" w:cs="Times New Roman"/>
                </w:rPr>
                <m:t>ME</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A</m:t>
              </m:r>
            </m:den>
          </m:f>
          <m:nary>
            <m:naryPr>
              <m:chr m:val="∑"/>
              <m:limLoc m:val="undOvr"/>
              <m:supHide m:val="1"/>
              <m:ctrlPr>
                <w:rPr>
                  <w:rFonts w:ascii="Cambria Math" w:hAnsi="Cambria Math" w:cs="Times New Roman"/>
                  <w:i/>
                </w:rPr>
              </m:ctrlPr>
            </m:naryPr>
            <m:sub>
              <m:r>
                <w:rPr>
                  <w:rFonts w:ascii="Cambria Math" w:hAnsi="Cambria Math" w:cs="Times New Roman"/>
                </w:rPr>
                <m:t>a ∈ A</m:t>
              </m:r>
            </m:sub>
            <m:sup/>
            <m:e>
              <m:r>
                <m:rPr>
                  <m:sty m:val="p"/>
                </m:rPr>
                <w:rPr>
                  <w:rFonts w:ascii="Cambria Math" w:hAnsi="Cambria Math" w:cs="Times New Roman"/>
                </w:rPr>
                <m:t>min⁡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t>
                  </m:r>
                </m:e>
                <m:sub>
                  <m:r>
                    <w:rPr>
                      <w:rFonts w:ascii="Cambria Math" w:hAnsi="Cambria Math" w:cs="Times New Roman"/>
                    </w:rPr>
                    <m:t>a,i</m:t>
                  </m:r>
                </m:sub>
              </m:sSub>
              <m:r>
                <w:rPr>
                  <w:rFonts w:ascii="Cambria Math" w:hAnsi="Cambria Math" w:cs="Times New Roman"/>
                </w:rPr>
                <m:t xml:space="preserve">,  </m:t>
              </m:r>
            </m:e>
          </m:nary>
          <m:r>
            <w:rPr>
              <w:rFonts w:ascii="Cambria Math" w:hAnsi="Cambria Math" w:cs="Times New Roman"/>
            </w:rPr>
            <m:t xml:space="preserve"> 1}</m:t>
          </m:r>
        </m:oMath>
      </m:oMathPara>
    </w:p>
    <w:p w14:paraId="1C4D13D5" w14:textId="77777777" w:rsidR="00C05F6D" w:rsidRDefault="00C05F6D">
      <w:pPr>
        <w:spacing w:line="480" w:lineRule="auto"/>
        <w:rPr>
          <w:rFonts w:ascii="Times New Roman" w:eastAsia="Times New Roman" w:hAnsi="Times New Roman" w:cs="Times New Roman"/>
        </w:rPr>
      </w:pPr>
    </w:p>
    <w:p w14:paraId="53FE9E81" w14:textId="5E8E5F25"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Pr>
          <w:rFonts w:ascii="Times New Roman" w:eastAsia="Times New Roman" w:hAnsi="Times New Roman" w:cs="Times New Roman"/>
          <w:i/>
        </w:rPr>
        <w:t>me</w:t>
      </w:r>
      <w:r>
        <w:rPr>
          <w:rFonts w:ascii="Times New Roman" w:eastAsia="Times New Roman" w:hAnsi="Times New Roman" w:cs="Times New Roman"/>
        </w:rPr>
        <w:t xml:space="preserve"> is the proportion of RNIs for each of the five minerals (</w:t>
      </w:r>
      <w:r>
        <w:rPr>
          <w:rFonts w:ascii="Times New Roman" w:eastAsia="Times New Roman" w:hAnsi="Times New Roman" w:cs="Times New Roman"/>
          <w:i/>
        </w:rPr>
        <w:t>A</w:t>
      </w:r>
      <w:r>
        <w:rPr>
          <w:rFonts w:ascii="Times New Roman" w:eastAsia="Times New Roman" w:hAnsi="Times New Roman" w:cs="Times New Roman"/>
        </w:rPr>
        <w:t>) provided in 300 Calories of each food (</w:t>
      </w:r>
      <w:r>
        <w:rPr>
          <w:rFonts w:ascii="Times New Roman" w:eastAsia="Times New Roman" w:hAnsi="Times New Roman" w:cs="Times New Roman"/>
          <w:i/>
        </w:rPr>
        <w:t>i</w:t>
      </w:r>
      <w:r>
        <w:rPr>
          <w:rFonts w:ascii="Times New Roman" w:eastAsia="Times New Roman" w:hAnsi="Times New Roman" w:cs="Times New Roman"/>
        </w:rPr>
        <w:t xml:space="preserve">). Each mineral’s contribution to </w:t>
      </w:r>
      <w:r>
        <w:rPr>
          <w:rFonts w:ascii="Times New Roman" w:eastAsia="Times New Roman" w:hAnsi="Times New Roman" w:cs="Times New Roman"/>
          <w:i/>
        </w:rPr>
        <w:t>ME</w:t>
      </w:r>
      <w:r>
        <w:rPr>
          <w:rFonts w:ascii="Times New Roman" w:eastAsia="Times New Roman" w:hAnsi="Times New Roman" w:cs="Times New Roman"/>
        </w:rPr>
        <w:t xml:space="preserve"> per 300 Calories was capped at the RNI to prevent foods very high in one mineral from inflating the score. Iron and zinc contents were adjusted for bioavailability following Beal and Ortenzi (2022)</w:t>
      </w:r>
      <w:r w:rsidR="008707D1" w:rsidRPr="00F549CC">
        <w:rPr>
          <w:rFonts w:ascii="Times New Roman" w:hAnsi="Times New Roman" w:cs="Times New Roman"/>
        </w:rPr>
        <w:fldChar w:fldCharType="begin"/>
      </w:r>
      <w:r w:rsidR="009C0D3D">
        <w:rPr>
          <w:rFonts w:ascii="Times New Roman" w:hAnsi="Times New Roman" w:cs="Times New Roman"/>
        </w:rPr>
        <w:instrText xml:space="preserve"> ADDIN ZOTERO_ITEM CSL_CITATION {"citationID":"a1mqqsmdtj7","properties":{"formattedCitation":"\\super 38\\nosupersub{}","plainCitation":"38","noteIndex":0},"citationItems":[{"id":4048,"uris":["http://zotero.org/groups/4546210/items/4VTD2HG2"],"itemData":{"id":4048,"type":"article-journal","abstract":"BackgroundDespite concerted efforts to improve diet quality and reduce malnutrition, micronutrient deficiencies remain widespread globally, especially in low- and middle-income countries and among population groups with increased needs, where diets are often inadequate in iron, zinc, folate, vitamin A, calcium, and vitamin B12. There is a need to understand the density of these micronutrients and their bioavailability across diverse foods and the suitability of these foods to help meet requirements for populations with high burdens of micronutrient malnutrition.ObjectiveWe aimed to identify the top food sources of these commonly lacking micronutrients, which are essential for optimal health, to support efforts to reduce micronutrient malnutrition among various populations globally.MethodsWe built an aggregated global food composition database and calculated recommended nutrient intakes for five population groups with varying requirements. An approach was developed to rate foods according to their density in each and all priority micronutrients for various population groups with different nutrient requirements.ResultsWe find that the top sources of priority micronutrients are organs, small fish, dark green leafy vegetables, bivalves, crustaceans, goat, beef, eggs, milk, canned fish with bones, mutton, and lamb. Cheese, goat milk, and pork are also good sources, and to a lesser extent, yogurt, fresh fish, pulses, teff, and canned fish without bones.ConclusionThe results provide insight into which foods to prioritize to fill common micronutrient gaps and reduce undernutrition.","container-title":"Frontiers in Nutrition","ISSN":"2296-861X","source":"Frontiers","title":"Priority Micronutrient Density in Foods","URL":"https://www.frontiersin.org/articles/10.3389/fnut.2022.806566","volume":"9","author":[{"family":"Beal","given":"Ty"},{"family":"Ortenzi","given":"Flaminia"}],"accessed":{"date-parts":[["2023",5,3]]},"issued":{"date-parts":[["2022"]]}}}],"schema":"https://github.com/citation-style-language/schema/raw/master/csl-citation.json"} </w:instrText>
      </w:r>
      <w:r w:rsidR="008707D1" w:rsidRPr="00F549CC">
        <w:rPr>
          <w:rFonts w:ascii="Times New Roman" w:hAnsi="Times New Roman" w:cs="Times New Roman"/>
        </w:rPr>
        <w:fldChar w:fldCharType="separate"/>
      </w:r>
      <w:r w:rsidR="009C0D3D" w:rsidRPr="009C0D3D">
        <w:rPr>
          <w:rFonts w:ascii="Times New Roman" w:hAnsi="Times New Roman" w:cs="Times New Roman"/>
          <w:kern w:val="0"/>
          <w:vertAlign w:val="superscript"/>
        </w:rPr>
        <w:t>38</w:t>
      </w:r>
      <w:r w:rsidR="008707D1" w:rsidRPr="00F549CC">
        <w:rPr>
          <w:rFonts w:ascii="Times New Roman" w:hAnsi="Times New Roman" w:cs="Times New Roman"/>
        </w:rPr>
        <w:fldChar w:fldCharType="end"/>
      </w:r>
      <w:r>
        <w:rPr>
          <w:rFonts w:ascii="Times New Roman" w:eastAsia="Times New Roman" w:hAnsi="Times New Roman" w:cs="Times New Roman"/>
        </w:rPr>
        <w:t>.</w:t>
      </w:r>
    </w:p>
    <w:p w14:paraId="6A13A9AE" w14:textId="77777777" w:rsidR="00C05F6D" w:rsidRDefault="00C05F6D">
      <w:pPr>
        <w:spacing w:line="480" w:lineRule="auto"/>
        <w:rPr>
          <w:rFonts w:ascii="Times New Roman" w:eastAsia="Times New Roman" w:hAnsi="Times New Roman" w:cs="Times New Roman"/>
        </w:rPr>
      </w:pPr>
    </w:p>
    <w:p w14:paraId="0F616ADB" w14:textId="7DF64CB4"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i/>
        </w:rPr>
        <w:t>MM</w:t>
      </w:r>
      <w:r>
        <w:rPr>
          <w:rFonts w:ascii="Times New Roman" w:eastAsia="Times New Roman" w:hAnsi="Times New Roman" w:cs="Times New Roman"/>
        </w:rPr>
        <w:t xml:space="preserve"> is calculated the same as </w:t>
      </w:r>
      <w:r>
        <w:rPr>
          <w:rFonts w:ascii="Times New Roman" w:eastAsia="Times New Roman" w:hAnsi="Times New Roman" w:cs="Times New Roman"/>
          <w:i/>
        </w:rPr>
        <w:t>ME</w:t>
      </w:r>
      <w:r>
        <w:rPr>
          <w:rFonts w:ascii="Times New Roman" w:eastAsia="Times New Roman" w:hAnsi="Times New Roman" w:cs="Times New Roman"/>
        </w:rPr>
        <w:t xml:space="preserve"> but per 231 g of each food. This quantity was calculated by dividing 300 Calories by 1.3 Calories/g (the mean energy density of a minimally processed plant-based, low-fat diet and an animal-based, ketogenic diet)</w:t>
      </w:r>
      <w:r w:rsidR="00AD736E" w:rsidRPr="00F549CC">
        <w:rPr>
          <w:rFonts w:ascii="Times New Roman" w:hAnsi="Times New Roman" w:cs="Times New Roman"/>
        </w:rPr>
        <w:fldChar w:fldCharType="begin"/>
      </w:r>
      <w:r w:rsidR="009C0D3D">
        <w:rPr>
          <w:rFonts w:ascii="Times New Roman" w:hAnsi="Times New Roman" w:cs="Times New Roman"/>
        </w:rPr>
        <w:instrText xml:space="preserve"> ADDIN ZOTERO_ITEM CSL_CITATION {"citationID":"pc14pZan","properties":{"formattedCitation":"\\super 37\\nosupersub{}","plainCitation":"37","noteIndex":0},"citationItems":[{"id":"1wjoFLaO/r8VjFMUh","uris":["http://zotero.org/users/7459384/items/CEEJUJKN"],"itemData":{"id":250,"type":"article-journal","abstract":"The carbohydrate–insulin model of obesity posits that high-carbohydrate diets lead to excess insulin secretion, thereby promoting fat accumulation and increasing energy intake. Thus, low-carbohydrate diets are predicted to reduce ad libitum energy intake as compared to low-fat, high-carbohydrate diets. To test this hypothesis, 20 adults aged 29.9 ± 1.4 (mean ± s.e.m.) years with body mass index of 27.8 ± 1.3 kg m−2 were admitted as inpatients to the National Institutes of Health Clinical Center and randomized to consume ad libitum either a minimally processed, plant-based, low-fat diet (10.3% fat, 75.2% carbohydrate) with high glycemic load (85 g 1,000 kcal−1) or a minimally processed, animal-based, ketogenic, low-carbohydrate diet (75.8% fat, 10.0% carbohydrate) with low glycemic load (6 g 1,000 kcal−1) for 2 weeks followed immediately by the alternate diet for 2 weeks. One participant withdrew due to hypoglycemia during the low-carbohydrate diet. The primary outcomes compared mean daily ad libitum energy intake between each 2-week diet period as well as between the final week of each diet. We found that the low-fat diet led to 689 ± 73 kcal d−1 less energy intake than the low-carbohydrate diet over 2 weeks (P &lt; 0.0001) and 544 ± 68 kcal d−1 less over the final week (P &lt; 0.0001). Therefore, the predictions of the carbohydrate–insulin model were inconsistent with our observations. This study was registered on ClinicalTrials.gov as NCT03878108.","container-title":"Nature Medicine","DOI":"10.1038/s41591-020-01209-1","ISSN":"1546-170X","issue":"2","journalAbbreviation":"Nat Med","language":"en","license":"2021 This is a U.S. government work and not under copyright protection in the U.S.; foreign copyright protection may apply","note":"Bandiera_abtest: a\nCg_type: Nature Research Journals\nnumber: 2\nPrimary_atype: Research\npublisher: Nature Publishing Group\nSubject_term: Fat metabolism;Feeding behaviour;Obesity\nSubject_term_id: fat-metabolism;feeding-behaviour;obesity","page":"344-353","source":"www.nature.com","title":"Effect of a plant-based, low-fat diet versus an animal-based, ketogenic diet on ad libitum energy intake","volume":"27","author":[{"family":"Hall","given":"Kevin D."},{"family":"Guo","given":"Juen"},{"family":"Courville","given":"Amber B."},{"family":"Boring","given":"James"},{"family":"Brychta","given":"Robert"},{"family":"Chen","given":"Kong Y."},{"family":"Darcey","given":"Valerie"},{"family":"Forde","given":"Ciaran G."},{"family":"Gharib","given":"Ahmed M."},{"family":"Gallagher","given":"Isabelle"},{"family":"Howard","given":"Rebecca"},{"family":"Joseph","given":"Paule V."},{"family":"Milley","given":"Lauren"},{"family":"Ouwerkerk","given":"Ronald"},{"family":"Raisinger","given":"Klaudia"},{"family":"Rozga","given":"Irene"},{"family":"Schick","given":"Alex"},{"family":"Stagliano","given":"Michael"},{"family":"Torres","given":"Stephan"},{"family":"Walter","given":"Mary"},{"family":"Walter","given":"Peter"},{"family":"Yang","given":"Shanna"},{"family":"Chung","given":"Stephanie T."}],"issued":{"date-parts":[["2021",2]]}}}],"schema":"https://github.com/citation-style-language/schema/raw/master/csl-citation.json"} </w:instrText>
      </w:r>
      <w:r w:rsidR="00AD736E" w:rsidRPr="00F549CC">
        <w:rPr>
          <w:rFonts w:ascii="Times New Roman" w:hAnsi="Times New Roman" w:cs="Times New Roman"/>
        </w:rPr>
        <w:fldChar w:fldCharType="separate"/>
      </w:r>
      <w:r w:rsidR="009C0D3D" w:rsidRPr="009C0D3D">
        <w:rPr>
          <w:rFonts w:ascii="Times New Roman" w:hAnsi="Times New Roman" w:cs="Times New Roman"/>
          <w:kern w:val="0"/>
          <w:vertAlign w:val="superscript"/>
        </w:rPr>
        <w:t>37</w:t>
      </w:r>
      <w:r w:rsidR="00AD736E" w:rsidRPr="00F549CC">
        <w:rPr>
          <w:rFonts w:ascii="Times New Roman" w:hAnsi="Times New Roman" w:cs="Times New Roman"/>
        </w:rPr>
        <w:fldChar w:fldCharType="end"/>
      </w:r>
      <w:r>
        <w:rPr>
          <w:rFonts w:ascii="Times New Roman" w:eastAsia="Times New Roman" w:hAnsi="Times New Roman" w:cs="Times New Roman"/>
        </w:rPr>
        <w:t>.</w:t>
      </w:r>
    </w:p>
    <w:p w14:paraId="274D0397" w14:textId="77777777" w:rsidR="00C05F6D" w:rsidRDefault="00C05F6D">
      <w:pPr>
        <w:spacing w:line="480" w:lineRule="auto"/>
        <w:rPr>
          <w:rFonts w:ascii="Times New Roman" w:eastAsia="Times New Roman" w:hAnsi="Times New Roman" w:cs="Times New Roman"/>
        </w:rPr>
      </w:pPr>
    </w:p>
    <w:p w14:paraId="508F7BE4" w14:textId="77777777" w:rsidR="00C05F6D" w:rsidRDefault="000D22B3">
      <w:pPr>
        <w:spacing w:line="480" w:lineRule="auto"/>
        <w:rPr>
          <w:rFonts w:ascii="Times New Roman" w:eastAsia="Times New Roman" w:hAnsi="Times New Roman" w:cs="Times New Roman"/>
          <w:b/>
        </w:rPr>
      </w:pPr>
      <w:r>
        <w:rPr>
          <w:rFonts w:ascii="Times New Roman" w:eastAsia="Times New Roman" w:hAnsi="Times New Roman" w:cs="Times New Roman"/>
          <w:b/>
        </w:rPr>
        <w:t>Essential amino acids</w:t>
      </w:r>
    </w:p>
    <w:p w14:paraId="2B90B0F9" w14:textId="77777777" w:rsidR="00C05F6D" w:rsidRDefault="000D22B3">
      <w:pPr>
        <w:spacing w:line="480" w:lineRule="auto"/>
        <w:rPr>
          <w:rFonts w:ascii="Times New Roman" w:eastAsia="Times New Roman" w:hAnsi="Times New Roman" w:cs="Times New Roman"/>
          <w:b/>
        </w:rPr>
      </w:pPr>
      <w:r>
        <w:rPr>
          <w:rFonts w:ascii="Times New Roman" w:eastAsia="Times New Roman" w:hAnsi="Times New Roman" w:cs="Times New Roman"/>
        </w:rPr>
        <w:t>The Essential Amino Acids score (</w:t>
      </w:r>
      <w:r>
        <w:rPr>
          <w:rFonts w:ascii="Times New Roman" w:eastAsia="Times New Roman" w:hAnsi="Times New Roman" w:cs="Times New Roman"/>
          <w:i/>
        </w:rPr>
        <w:t>EAA</w:t>
      </w:r>
      <w:r>
        <w:rPr>
          <w:rFonts w:ascii="Times New Roman" w:eastAsia="Times New Roman" w:hAnsi="Times New Roman" w:cs="Times New Roman"/>
        </w:rPr>
        <w:t xml:space="preserve">) reflects the quantity and quality of essential amino acids. </w:t>
      </w:r>
      <w:r>
        <w:rPr>
          <w:rFonts w:ascii="Times New Roman" w:eastAsia="Times New Roman" w:hAnsi="Times New Roman" w:cs="Times New Roman"/>
          <w:i/>
        </w:rPr>
        <w:t>EAA</w:t>
      </w:r>
      <w:r>
        <w:rPr>
          <w:rFonts w:ascii="Times New Roman" w:eastAsia="Times New Roman" w:hAnsi="Times New Roman" w:cs="Times New Roman"/>
        </w:rPr>
        <w:t xml:space="preserve"> is the average of two sub scores—</w:t>
      </w:r>
      <w:r>
        <w:rPr>
          <w:rFonts w:ascii="Times New Roman" w:eastAsia="Times New Roman" w:hAnsi="Times New Roman" w:cs="Times New Roman"/>
          <w:i/>
        </w:rPr>
        <w:t>eaa</w:t>
      </w:r>
      <w:r>
        <w:rPr>
          <w:rFonts w:ascii="Times New Roman" w:eastAsia="Times New Roman" w:hAnsi="Times New Roman" w:cs="Times New Roman"/>
        </w:rPr>
        <w:t xml:space="preserve"> and </w:t>
      </w:r>
      <w:r>
        <w:rPr>
          <w:rFonts w:ascii="Times New Roman" w:eastAsia="Times New Roman" w:hAnsi="Times New Roman" w:cs="Times New Roman"/>
          <w:i/>
        </w:rPr>
        <w:t>DIAAS</w:t>
      </w:r>
      <w:r>
        <w:rPr>
          <w:rFonts w:ascii="Times New Roman" w:eastAsia="Times New Roman" w:hAnsi="Times New Roman" w:cs="Times New Roman"/>
        </w:rPr>
        <w:t xml:space="preserve">—each normalized between 1 and 100. </w:t>
      </w:r>
      <w:r>
        <w:rPr>
          <w:rFonts w:ascii="Times New Roman" w:eastAsia="Times New Roman" w:hAnsi="Times New Roman" w:cs="Times New Roman"/>
          <w:i/>
        </w:rPr>
        <w:t>eaa</w:t>
      </w:r>
      <w:r>
        <w:rPr>
          <w:rFonts w:ascii="Times New Roman" w:eastAsia="Times New Roman" w:hAnsi="Times New Roman" w:cs="Times New Roman"/>
        </w:rPr>
        <w:t xml:space="preserve"> is the average of the sum of the essential amino acids per 300 Calories (</w:t>
      </w:r>
      <w:r>
        <w:rPr>
          <w:rFonts w:ascii="Times New Roman" w:eastAsia="Times New Roman" w:hAnsi="Times New Roman" w:cs="Times New Roman"/>
          <w:i/>
        </w:rPr>
        <w:t>eaaE</w:t>
      </w:r>
      <w:r>
        <w:rPr>
          <w:rFonts w:ascii="Times New Roman" w:eastAsia="Times New Roman" w:hAnsi="Times New Roman" w:cs="Times New Roman"/>
        </w:rPr>
        <w:t>) and the sum of essential amino acids per 231 g (</w:t>
      </w:r>
      <w:r>
        <w:rPr>
          <w:rFonts w:ascii="Times New Roman" w:eastAsia="Times New Roman" w:hAnsi="Times New Roman" w:cs="Times New Roman"/>
          <w:i/>
        </w:rPr>
        <w:t>eaaM</w:t>
      </w:r>
      <w:r>
        <w:rPr>
          <w:rFonts w:ascii="Times New Roman" w:eastAsia="Times New Roman" w:hAnsi="Times New Roman" w:cs="Times New Roman"/>
        </w:rPr>
        <w:t xml:space="preserve">). </w:t>
      </w:r>
      <w:r>
        <w:rPr>
          <w:rFonts w:ascii="Times New Roman" w:eastAsia="Times New Roman" w:hAnsi="Times New Roman" w:cs="Times New Roman"/>
          <w:i/>
        </w:rPr>
        <w:t>DIAAS</w:t>
      </w:r>
      <w:r>
        <w:rPr>
          <w:rFonts w:ascii="Times New Roman" w:eastAsia="Times New Roman" w:hAnsi="Times New Roman" w:cs="Times New Roman"/>
        </w:rPr>
        <w:t xml:space="preserve"> is the untruncated Digestible Indispensable Amino Acids Score (DIAAS).</w:t>
      </w:r>
    </w:p>
    <w:p w14:paraId="68E1FD72" w14:textId="77777777" w:rsidR="00C05F6D" w:rsidRDefault="00C05F6D">
      <w:pPr>
        <w:spacing w:line="480" w:lineRule="auto"/>
        <w:rPr>
          <w:rFonts w:ascii="Times New Roman" w:eastAsia="Times New Roman" w:hAnsi="Times New Roman" w:cs="Times New Roman"/>
        </w:rPr>
      </w:pPr>
    </w:p>
    <w:p w14:paraId="40C4F912" w14:textId="77777777" w:rsidR="00C05F6D" w:rsidRDefault="000D22B3">
      <w:pPr>
        <w:spacing w:line="480" w:lineRule="auto"/>
        <w:rPr>
          <w:rFonts w:ascii="Times New Roman" w:eastAsia="Times New Roman" w:hAnsi="Times New Roman" w:cs="Times New Roman"/>
          <w:b/>
        </w:rPr>
      </w:pPr>
      <w:r>
        <w:rPr>
          <w:rFonts w:ascii="Times New Roman" w:eastAsia="Times New Roman" w:hAnsi="Times New Roman" w:cs="Times New Roman"/>
          <w:b/>
        </w:rPr>
        <w:t>n-3 fatty acids</w:t>
      </w:r>
    </w:p>
    <w:p w14:paraId="5F940EA4" w14:textId="77777777"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i/>
        </w:rPr>
        <w:t>n-</w:t>
      </w:r>
      <w:r>
        <w:rPr>
          <w:rFonts w:ascii="Times New Roman" w:eastAsia="Times New Roman" w:hAnsi="Times New Roman" w:cs="Times New Roman"/>
        </w:rPr>
        <w:t>3 score (</w:t>
      </w:r>
      <w:r>
        <w:rPr>
          <w:rFonts w:ascii="Times New Roman" w:eastAsia="Times New Roman" w:hAnsi="Times New Roman" w:cs="Times New Roman"/>
          <w:i/>
        </w:rPr>
        <w:t>n3</w:t>
      </w:r>
      <w:r>
        <w:rPr>
          <w:rFonts w:ascii="Times New Roman" w:eastAsia="Times New Roman" w:hAnsi="Times New Roman" w:cs="Times New Roman"/>
        </w:rPr>
        <w:t xml:space="preserve">) reflects the quantity and quality of </w:t>
      </w:r>
      <w:r>
        <w:rPr>
          <w:rFonts w:ascii="Times New Roman" w:eastAsia="Times New Roman" w:hAnsi="Times New Roman" w:cs="Times New Roman"/>
          <w:i/>
        </w:rPr>
        <w:t>n-</w:t>
      </w:r>
      <w:r>
        <w:rPr>
          <w:rFonts w:ascii="Times New Roman" w:eastAsia="Times New Roman" w:hAnsi="Times New Roman" w:cs="Times New Roman"/>
        </w:rPr>
        <w:t xml:space="preserve">3 fatty acids. </w:t>
      </w:r>
      <w:r>
        <w:rPr>
          <w:rFonts w:ascii="Times New Roman" w:eastAsia="Times New Roman" w:hAnsi="Times New Roman" w:cs="Times New Roman"/>
          <w:i/>
        </w:rPr>
        <w:t>n3</w:t>
      </w:r>
      <w:r>
        <w:rPr>
          <w:rFonts w:ascii="Times New Roman" w:eastAsia="Times New Roman" w:hAnsi="Times New Roman" w:cs="Times New Roman"/>
        </w:rPr>
        <w:t xml:space="preserve"> is the average of two sub scores—</w:t>
      </w:r>
      <w:r>
        <w:rPr>
          <w:rFonts w:ascii="Times New Roman" w:eastAsia="Times New Roman" w:hAnsi="Times New Roman" w:cs="Times New Roman"/>
          <w:i/>
        </w:rPr>
        <w:t>n3E</w:t>
      </w:r>
      <w:r>
        <w:rPr>
          <w:rFonts w:ascii="Times New Roman" w:eastAsia="Times New Roman" w:hAnsi="Times New Roman" w:cs="Times New Roman"/>
        </w:rPr>
        <w:t xml:space="preserve"> and </w:t>
      </w:r>
      <w:r>
        <w:rPr>
          <w:rFonts w:ascii="Times New Roman" w:eastAsia="Times New Roman" w:hAnsi="Times New Roman" w:cs="Times New Roman"/>
          <w:i/>
        </w:rPr>
        <w:t>n3M</w:t>
      </w:r>
      <w:r>
        <w:rPr>
          <w:rFonts w:ascii="Times New Roman" w:eastAsia="Times New Roman" w:hAnsi="Times New Roman" w:cs="Times New Roman"/>
        </w:rPr>
        <w:t xml:space="preserve">—each normalized between 1 and 100. </w:t>
      </w:r>
      <w:r>
        <w:rPr>
          <w:rFonts w:ascii="Times New Roman" w:eastAsia="Times New Roman" w:hAnsi="Times New Roman" w:cs="Times New Roman"/>
          <w:i/>
        </w:rPr>
        <w:t>n3E</w:t>
      </w:r>
      <w:r>
        <w:rPr>
          <w:rFonts w:ascii="Times New Roman" w:eastAsia="Times New Roman" w:hAnsi="Times New Roman" w:cs="Times New Roman"/>
        </w:rPr>
        <w:t xml:space="preserve"> reflects the </w:t>
      </w:r>
      <w:r>
        <w:rPr>
          <w:rFonts w:ascii="Times New Roman" w:eastAsia="Times New Roman" w:hAnsi="Times New Roman" w:cs="Times New Roman"/>
          <w:i/>
        </w:rPr>
        <w:t>n-</w:t>
      </w:r>
      <w:r>
        <w:rPr>
          <w:rFonts w:ascii="Times New Roman" w:eastAsia="Times New Roman" w:hAnsi="Times New Roman" w:cs="Times New Roman"/>
        </w:rPr>
        <w:t xml:space="preserve">3 fatty acid density per unit energy. </w:t>
      </w:r>
      <w:r>
        <w:rPr>
          <w:rFonts w:ascii="Times New Roman" w:eastAsia="Times New Roman" w:hAnsi="Times New Roman" w:cs="Times New Roman"/>
          <w:i/>
        </w:rPr>
        <w:t>n3M</w:t>
      </w:r>
      <w:r>
        <w:rPr>
          <w:rFonts w:ascii="Times New Roman" w:eastAsia="Times New Roman" w:hAnsi="Times New Roman" w:cs="Times New Roman"/>
        </w:rPr>
        <w:t xml:space="preserve"> reflects the </w:t>
      </w:r>
      <w:r>
        <w:rPr>
          <w:rFonts w:ascii="Times New Roman" w:eastAsia="Times New Roman" w:hAnsi="Times New Roman" w:cs="Times New Roman"/>
          <w:i/>
        </w:rPr>
        <w:t>n-</w:t>
      </w:r>
      <w:r>
        <w:rPr>
          <w:rFonts w:ascii="Times New Roman" w:eastAsia="Times New Roman" w:hAnsi="Times New Roman" w:cs="Times New Roman"/>
        </w:rPr>
        <w:t xml:space="preserve">3 fatty acid density per unit mass. </w:t>
      </w:r>
      <w:r>
        <w:rPr>
          <w:rFonts w:ascii="Times New Roman" w:eastAsia="Times New Roman" w:hAnsi="Times New Roman" w:cs="Times New Roman"/>
          <w:i/>
        </w:rPr>
        <w:t>n3E</w:t>
      </w:r>
      <w:r>
        <w:rPr>
          <w:rFonts w:ascii="Times New Roman" w:eastAsia="Times New Roman" w:hAnsi="Times New Roman" w:cs="Times New Roman"/>
        </w:rPr>
        <w:t xml:space="preserve"> is calculated as follows:</w:t>
      </w:r>
    </w:p>
    <w:p w14:paraId="4E028105" w14:textId="77777777" w:rsidR="00C05F6D" w:rsidRDefault="00C05F6D">
      <w:pPr>
        <w:spacing w:line="480" w:lineRule="auto"/>
        <w:rPr>
          <w:rFonts w:ascii="Times New Roman" w:eastAsia="Times New Roman" w:hAnsi="Times New Roman" w:cs="Times New Roman"/>
        </w:rPr>
      </w:pPr>
    </w:p>
    <w:p w14:paraId="386371E1" w14:textId="319D61FB" w:rsidR="005D457E" w:rsidRDefault="00000000" w:rsidP="0069624F">
      <w:pPr>
        <w:spacing w:line="480" w:lineRule="auto"/>
        <w:jc w:val="center"/>
        <w:rPr>
          <w:rFonts w:ascii="Cambria Math" w:eastAsia="Cambria Math" w:hAnsi="Cambria Math" w:cs="Cambria Math"/>
        </w:rPr>
      </w:pPr>
      <m:oMathPara>
        <m:oMath>
          <m:sSub>
            <m:sSubPr>
              <m:ctrlPr>
                <w:rPr>
                  <w:rFonts w:ascii="Cambria Math" w:hAnsi="Cambria Math"/>
                  <w:i/>
                </w:rPr>
              </m:ctrlPr>
            </m:sSubPr>
            <m:e>
              <m:r>
                <w:rPr>
                  <w:rFonts w:ascii="Cambria Math" w:hAnsi="Cambria Math"/>
                </w:rPr>
                <m:t>n3E</m:t>
              </m:r>
            </m:e>
            <m:sub>
              <m:r>
                <w:rPr>
                  <w:rFonts w:ascii="Cambria Math" w:hAnsi="Cambria Math"/>
                </w:rPr>
                <m:t>i</m:t>
              </m:r>
            </m:sub>
          </m:sSub>
          <m:r>
            <w:rPr>
              <w:rFonts w:ascii="Cambria Math" w:hAnsi="Cambria Math"/>
              <w:lang w:val="it-IT"/>
            </w:rPr>
            <m:t xml:space="preserve"> = </m:t>
          </m:r>
          <m:r>
            <m:rPr>
              <m:sty m:val="p"/>
            </m:rPr>
            <w:rPr>
              <w:rFonts w:ascii="Cambria Math" w:hAnsi="Cambria Math"/>
              <w:lang w:val="it-IT"/>
            </w:rPr>
            <m:t>max(</m:t>
          </m:r>
          <m:sSub>
            <m:sSubPr>
              <m:ctrlPr>
                <w:rPr>
                  <w:rFonts w:ascii="Cambria Math" w:hAnsi="Cambria Math"/>
                  <w:i/>
                </w:rPr>
              </m:ctrlPr>
            </m:sSubPr>
            <m:e>
              <m:r>
                <w:rPr>
                  <w:rFonts w:ascii="Cambria Math" w:hAnsi="Cambria Math"/>
                </w:rPr>
                <m:t>DHA</m:t>
              </m:r>
            </m:e>
            <m:sub>
              <m:r>
                <w:rPr>
                  <w:rFonts w:ascii="Cambria Math" w:hAnsi="Cambria Math"/>
                </w:rPr>
                <m:t>i</m:t>
              </m:r>
            </m:sub>
          </m:sSub>
          <m:r>
            <w:rPr>
              <w:rFonts w:ascii="Cambria Math" w:hAnsi="Cambria Math"/>
              <w:lang w:val="it-IT"/>
            </w:rPr>
            <m:t xml:space="preserve">+ </m:t>
          </m:r>
          <m:sSub>
            <m:sSubPr>
              <m:ctrlPr>
                <w:rPr>
                  <w:rFonts w:ascii="Cambria Math" w:hAnsi="Cambria Math"/>
                  <w:i/>
                </w:rPr>
              </m:ctrlPr>
            </m:sSubPr>
            <m:e>
              <m:r>
                <w:rPr>
                  <w:rFonts w:ascii="Cambria Math" w:hAnsi="Cambria Math"/>
                </w:rPr>
                <m:t>EPA</m:t>
              </m:r>
            </m:e>
            <m:sub>
              <m:r>
                <w:rPr>
                  <w:rFonts w:ascii="Cambria Math" w:hAnsi="Cambria Math"/>
                </w:rPr>
                <m:t>i</m:t>
              </m:r>
            </m:sub>
          </m:sSub>
          <m:r>
            <m:rPr>
              <m:sty m:val="p"/>
            </m:rPr>
            <w:rPr>
              <w:rFonts w:ascii="Cambria Math" w:hAnsi="Cambria Math"/>
              <w:lang w:val="it-IT"/>
            </w:rPr>
            <m:t>+</m:t>
          </m:r>
          <m:sSub>
            <m:sSubPr>
              <m:ctrlPr>
                <w:rPr>
                  <w:rFonts w:ascii="Cambria Math" w:hAnsi="Cambria Math"/>
                  <w:i/>
                </w:rPr>
              </m:ctrlPr>
            </m:sSubPr>
            <m:e>
              <m:r>
                <w:rPr>
                  <w:rFonts w:ascii="Cambria Math" w:hAnsi="Cambria Math"/>
                </w:rPr>
                <m:t>DPA</m:t>
              </m:r>
            </m:e>
            <m:sub>
              <m:r>
                <w:rPr>
                  <w:rFonts w:ascii="Cambria Math" w:hAnsi="Cambria Math"/>
                </w:rPr>
                <m:t>i</m:t>
              </m:r>
            </m:sub>
          </m:sSub>
          <m:r>
            <m:rPr>
              <m:sty m:val="p"/>
            </m:rPr>
            <w:rPr>
              <w:rFonts w:ascii="Cambria Math" w:hAnsi="Cambria Math"/>
              <w:lang w:val="it-IT"/>
            </w:rPr>
            <m:t xml:space="preserve">, </m:t>
          </m:r>
          <m:sSub>
            <m:sSubPr>
              <m:ctrlPr>
                <w:rPr>
                  <w:rFonts w:ascii="Cambria Math" w:hAnsi="Cambria Math"/>
                  <w:i/>
                </w:rPr>
              </m:ctrlPr>
            </m:sSubPr>
            <m:e>
              <m:r>
                <w:rPr>
                  <w:rFonts w:ascii="Cambria Math" w:hAnsi="Cambria Math"/>
                </w:rPr>
                <m:t>ALA</m:t>
              </m:r>
            </m:e>
            <m:sub>
              <m:r>
                <w:rPr>
                  <w:rFonts w:ascii="Cambria Math" w:hAnsi="Cambria Math"/>
                </w:rPr>
                <m:t>i</m:t>
              </m:r>
            </m:sub>
          </m:sSub>
          <m:r>
            <m:rPr>
              <m:sty m:val="p"/>
            </m:rPr>
            <w:rPr>
              <w:rFonts w:ascii="Cambria Math" w:hAnsi="Cambria Math"/>
              <w:lang w:val="it-IT"/>
            </w:rPr>
            <m:t>)</m:t>
          </m:r>
        </m:oMath>
      </m:oMathPara>
    </w:p>
    <w:p w14:paraId="4BDB7E62" w14:textId="77777777" w:rsidR="00C05F6D" w:rsidRDefault="00C05F6D" w:rsidP="0069624F">
      <w:pPr>
        <w:spacing w:line="480" w:lineRule="auto"/>
        <w:jc w:val="center"/>
        <w:rPr>
          <w:rFonts w:ascii="Times New Roman" w:eastAsia="Times New Roman" w:hAnsi="Times New Roman" w:cs="Times New Roman"/>
        </w:rPr>
      </w:pPr>
    </w:p>
    <w:p w14:paraId="3E8C5E34" w14:textId="77777777" w:rsidR="00C05F6D" w:rsidRDefault="000D22B3" w:rsidP="0069624F">
      <w:pPr>
        <w:spacing w:after="480"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Pr>
          <w:rFonts w:ascii="Times New Roman" w:eastAsia="Times New Roman" w:hAnsi="Times New Roman" w:cs="Times New Roman"/>
          <w:i/>
        </w:rPr>
        <w:t>DHA+EPA+DPA</w:t>
      </w:r>
      <w:r>
        <w:rPr>
          <w:rFonts w:ascii="Times New Roman" w:eastAsia="Times New Roman" w:hAnsi="Times New Roman" w:cs="Times New Roman"/>
        </w:rPr>
        <w:t xml:space="preserve"> and </w:t>
      </w:r>
      <w:r>
        <w:rPr>
          <w:rFonts w:ascii="Times New Roman" w:eastAsia="Times New Roman" w:hAnsi="Times New Roman" w:cs="Times New Roman"/>
          <w:i/>
        </w:rPr>
        <w:t>ALA</w:t>
      </w:r>
      <w:r>
        <w:rPr>
          <w:rFonts w:ascii="Times New Roman" w:eastAsia="Times New Roman" w:hAnsi="Times New Roman" w:cs="Times New Roman"/>
        </w:rPr>
        <w:t xml:space="preserve"> indicate the proportion of RNIs of long chain (250 mg) and short chain (1,240 mg) </w:t>
      </w:r>
      <w:r>
        <w:rPr>
          <w:rFonts w:ascii="Times New Roman" w:eastAsia="Times New Roman" w:hAnsi="Times New Roman" w:cs="Times New Roman"/>
          <w:i/>
        </w:rPr>
        <w:t>n-</w:t>
      </w:r>
      <w:r>
        <w:rPr>
          <w:rFonts w:ascii="Times New Roman" w:eastAsia="Times New Roman" w:hAnsi="Times New Roman" w:cs="Times New Roman"/>
        </w:rPr>
        <w:t>3 fatty acids, respectively, provided in 300 Calories of each food (</w:t>
      </w:r>
      <w:r>
        <w:rPr>
          <w:rFonts w:ascii="Times New Roman" w:eastAsia="Times New Roman" w:hAnsi="Times New Roman" w:cs="Times New Roman"/>
          <w:i/>
        </w:rPr>
        <w:t>i</w:t>
      </w:r>
      <w:r>
        <w:rPr>
          <w:rFonts w:ascii="Times New Roman" w:eastAsia="Times New Roman" w:hAnsi="Times New Roman" w:cs="Times New Roman"/>
        </w:rPr>
        <w:t xml:space="preserve">). </w:t>
      </w:r>
      <w:r>
        <w:rPr>
          <w:rFonts w:ascii="Times New Roman" w:eastAsia="Times New Roman" w:hAnsi="Times New Roman" w:cs="Times New Roman"/>
          <w:i/>
        </w:rPr>
        <w:t>n3M</w:t>
      </w:r>
      <w:r>
        <w:rPr>
          <w:rFonts w:ascii="Times New Roman" w:eastAsia="Times New Roman" w:hAnsi="Times New Roman" w:cs="Times New Roman"/>
        </w:rPr>
        <w:t xml:space="preserve"> is calculated the same as </w:t>
      </w:r>
      <w:r>
        <w:rPr>
          <w:rFonts w:ascii="Times New Roman" w:eastAsia="Times New Roman" w:hAnsi="Times New Roman" w:cs="Times New Roman"/>
          <w:i/>
        </w:rPr>
        <w:t>n3E</w:t>
      </w:r>
      <w:r>
        <w:rPr>
          <w:rFonts w:ascii="Times New Roman" w:eastAsia="Times New Roman" w:hAnsi="Times New Roman" w:cs="Times New Roman"/>
        </w:rPr>
        <w:t xml:space="preserve"> but per 231 g of each food.</w:t>
      </w:r>
    </w:p>
    <w:p w14:paraId="2A06BA3F" w14:textId="77777777" w:rsidR="00C05F6D" w:rsidRDefault="00C05F6D">
      <w:pPr>
        <w:spacing w:line="480" w:lineRule="auto"/>
        <w:rPr>
          <w:rFonts w:ascii="Times New Roman" w:eastAsia="Times New Roman" w:hAnsi="Times New Roman" w:cs="Times New Roman"/>
        </w:rPr>
      </w:pPr>
    </w:p>
    <w:p w14:paraId="5F23D60E" w14:textId="77777777" w:rsidR="00C05F6D" w:rsidRDefault="000D22B3">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Fiber</w:t>
      </w:r>
    </w:p>
    <w:p w14:paraId="7CD7C8C0" w14:textId="77777777"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t>The fiber score (</w:t>
      </w:r>
      <w:r>
        <w:rPr>
          <w:rFonts w:ascii="Times New Roman" w:eastAsia="Times New Roman" w:hAnsi="Times New Roman" w:cs="Times New Roman"/>
          <w:i/>
        </w:rPr>
        <w:t>F</w:t>
      </w:r>
      <w:r>
        <w:rPr>
          <w:rFonts w:ascii="Times New Roman" w:eastAsia="Times New Roman" w:hAnsi="Times New Roman" w:cs="Times New Roman"/>
        </w:rPr>
        <w:t xml:space="preserve">) reflects the quantity of fiber. </w:t>
      </w:r>
      <w:r>
        <w:rPr>
          <w:rFonts w:ascii="Times New Roman" w:eastAsia="Times New Roman" w:hAnsi="Times New Roman" w:cs="Times New Roman"/>
          <w:i/>
        </w:rPr>
        <w:t>F</w:t>
      </w:r>
      <w:r>
        <w:rPr>
          <w:rFonts w:ascii="Times New Roman" w:eastAsia="Times New Roman" w:hAnsi="Times New Roman" w:cs="Times New Roman"/>
        </w:rPr>
        <w:t xml:space="preserve"> is average of two sub scores—</w:t>
      </w:r>
      <w:r>
        <w:rPr>
          <w:rFonts w:ascii="Times New Roman" w:eastAsia="Times New Roman" w:hAnsi="Times New Roman" w:cs="Times New Roman"/>
          <w:i/>
        </w:rPr>
        <w:t>FE</w:t>
      </w:r>
      <w:r>
        <w:rPr>
          <w:rFonts w:ascii="Times New Roman" w:eastAsia="Times New Roman" w:hAnsi="Times New Roman" w:cs="Times New Roman"/>
        </w:rPr>
        <w:t xml:space="preserve"> and </w:t>
      </w:r>
      <w:r>
        <w:rPr>
          <w:rFonts w:ascii="Times New Roman" w:eastAsia="Times New Roman" w:hAnsi="Times New Roman" w:cs="Times New Roman"/>
          <w:i/>
        </w:rPr>
        <w:t>FM</w:t>
      </w:r>
      <w:r>
        <w:rPr>
          <w:rFonts w:ascii="Times New Roman" w:eastAsia="Times New Roman" w:hAnsi="Times New Roman" w:cs="Times New Roman"/>
        </w:rPr>
        <w:t xml:space="preserve">—each normalized between 1 and 100. </w:t>
      </w:r>
      <w:r>
        <w:rPr>
          <w:rFonts w:ascii="Times New Roman" w:eastAsia="Times New Roman" w:hAnsi="Times New Roman" w:cs="Times New Roman"/>
          <w:i/>
        </w:rPr>
        <w:t>FE</w:t>
      </w:r>
      <w:r>
        <w:rPr>
          <w:rFonts w:ascii="Times New Roman" w:eastAsia="Times New Roman" w:hAnsi="Times New Roman" w:cs="Times New Roman"/>
        </w:rPr>
        <w:t xml:space="preserve"> is the quantity of fiber in 300 Calories of each food. </w:t>
      </w:r>
      <w:r>
        <w:rPr>
          <w:rFonts w:ascii="Times New Roman" w:eastAsia="Times New Roman" w:hAnsi="Times New Roman" w:cs="Times New Roman"/>
          <w:i/>
        </w:rPr>
        <w:t>FM</w:t>
      </w:r>
      <w:r>
        <w:rPr>
          <w:rFonts w:ascii="Times New Roman" w:eastAsia="Times New Roman" w:hAnsi="Times New Roman" w:cs="Times New Roman"/>
        </w:rPr>
        <w:t xml:space="preserve"> is the quantity of fiber in 231 g of each food.</w:t>
      </w:r>
    </w:p>
    <w:p w14:paraId="7D3D5CA4" w14:textId="77777777" w:rsidR="00C05F6D" w:rsidRDefault="00C05F6D">
      <w:pPr>
        <w:spacing w:line="480" w:lineRule="auto"/>
        <w:rPr>
          <w:rFonts w:ascii="Times New Roman" w:eastAsia="Times New Roman" w:hAnsi="Times New Roman" w:cs="Times New Roman"/>
        </w:rPr>
      </w:pPr>
    </w:p>
    <w:p w14:paraId="09543B0C" w14:textId="0FAB1F2F" w:rsidR="003F7176" w:rsidRDefault="003F7176" w:rsidP="003F7176">
      <w:pPr>
        <w:spacing w:line="480" w:lineRule="auto"/>
        <w:rPr>
          <w:rFonts w:ascii="Times New Roman" w:eastAsia="Times New Roman" w:hAnsi="Times New Roman" w:cs="Times New Roman"/>
          <w:b/>
        </w:rPr>
      </w:pPr>
      <w:r>
        <w:rPr>
          <w:rFonts w:ascii="Times New Roman" w:eastAsia="Times New Roman" w:hAnsi="Times New Roman" w:cs="Times New Roman"/>
          <w:b/>
        </w:rPr>
        <w:t>Calories</w:t>
      </w:r>
    </w:p>
    <w:p w14:paraId="730D4A65" w14:textId="5F940FA9" w:rsidR="003F7176" w:rsidRDefault="003F7176" w:rsidP="008F540B">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w:t>
      </w:r>
      <w:r w:rsidR="007E29CF">
        <w:rPr>
          <w:rFonts w:ascii="Times New Roman" w:eastAsia="Times New Roman" w:hAnsi="Times New Roman" w:cs="Times New Roman"/>
        </w:rPr>
        <w:t>C</w:t>
      </w:r>
      <w:r>
        <w:rPr>
          <w:rFonts w:ascii="Times New Roman" w:eastAsia="Times New Roman" w:hAnsi="Times New Roman" w:cs="Times New Roman"/>
        </w:rPr>
        <w:t>alories score (</w:t>
      </w:r>
      <w:r>
        <w:rPr>
          <w:rFonts w:ascii="Times New Roman" w:eastAsia="Times New Roman" w:hAnsi="Times New Roman" w:cs="Times New Roman"/>
          <w:i/>
        </w:rPr>
        <w:t>C</w:t>
      </w:r>
      <w:r>
        <w:rPr>
          <w:rFonts w:ascii="Times New Roman" w:eastAsia="Times New Roman" w:hAnsi="Times New Roman" w:cs="Times New Roman"/>
        </w:rPr>
        <w:t xml:space="preserve">) reflects the quantity of </w:t>
      </w:r>
      <w:r w:rsidR="007E29CF">
        <w:rPr>
          <w:rFonts w:ascii="Times New Roman" w:eastAsia="Times New Roman" w:hAnsi="Times New Roman" w:cs="Times New Roman"/>
        </w:rPr>
        <w:t>C</w:t>
      </w:r>
      <w:r>
        <w:rPr>
          <w:rFonts w:ascii="Times New Roman" w:eastAsia="Times New Roman" w:hAnsi="Times New Roman" w:cs="Times New Roman"/>
        </w:rPr>
        <w:t xml:space="preserve">alories. </w:t>
      </w:r>
      <w:r w:rsidR="002C1A5F" w:rsidRPr="0069624F">
        <w:rPr>
          <w:rFonts w:ascii="Times New Roman" w:eastAsia="Times New Roman" w:hAnsi="Times New Roman" w:cs="Times New Roman"/>
          <w:i/>
          <w:iCs/>
        </w:rPr>
        <w:t>C</w:t>
      </w:r>
      <w:r w:rsidR="002C1A5F">
        <w:rPr>
          <w:rFonts w:ascii="Times New Roman" w:eastAsia="Times New Roman" w:hAnsi="Times New Roman" w:cs="Times New Roman"/>
        </w:rPr>
        <w:t xml:space="preserve"> is the </w:t>
      </w:r>
      <w:r w:rsidR="0051791F">
        <w:rPr>
          <w:rFonts w:ascii="Times New Roman" w:eastAsia="Times New Roman" w:hAnsi="Times New Roman" w:cs="Times New Roman"/>
        </w:rPr>
        <w:t>energy:mass ratio, normalized between –1</w:t>
      </w:r>
      <w:r w:rsidR="00DD2CAC">
        <w:rPr>
          <w:rFonts w:ascii="Times New Roman" w:eastAsia="Times New Roman" w:hAnsi="Times New Roman" w:cs="Times New Roman"/>
        </w:rPr>
        <w:t>00</w:t>
      </w:r>
      <w:r w:rsidR="0051791F">
        <w:rPr>
          <w:rFonts w:ascii="Times New Roman" w:eastAsia="Times New Roman" w:hAnsi="Times New Roman" w:cs="Times New Roman"/>
        </w:rPr>
        <w:t xml:space="preserve"> and 0.</w:t>
      </w:r>
      <w:r w:rsidR="0051791F" w:rsidRPr="0051791F">
        <w:rPr>
          <w:rFonts w:ascii="Times New Roman" w:eastAsia="Times New Roman" w:hAnsi="Times New Roman" w:cs="Times New Roman"/>
        </w:rPr>
        <w:t xml:space="preserve"> </w:t>
      </w:r>
      <w:r w:rsidR="0051791F">
        <w:rPr>
          <w:rFonts w:ascii="Times New Roman" w:eastAsia="Times New Roman" w:hAnsi="Times New Roman" w:cs="Times New Roman"/>
        </w:rPr>
        <w:t>We assigned zero values to foods containing &lt;1.3 Calories/g</w:t>
      </w:r>
      <w:r>
        <w:rPr>
          <w:rFonts w:ascii="Times New Roman" w:eastAsia="Times New Roman" w:hAnsi="Times New Roman" w:cs="Times New Roman"/>
        </w:rPr>
        <w:t xml:space="preserve"> (the mean energy density of a minimally processed plant-based, low-fat diet and an animal-based, ketogenic diet)</w:t>
      </w:r>
      <w:r w:rsidRPr="00F549CC">
        <w:rPr>
          <w:rFonts w:ascii="Times New Roman" w:hAnsi="Times New Roman" w:cs="Times New Roman"/>
        </w:rPr>
        <w:fldChar w:fldCharType="begin"/>
      </w:r>
      <w:r w:rsidR="009C0D3D">
        <w:rPr>
          <w:rFonts w:ascii="Times New Roman" w:hAnsi="Times New Roman" w:cs="Times New Roman"/>
        </w:rPr>
        <w:instrText xml:space="preserve"> ADDIN ZOTERO_ITEM CSL_CITATION {"citationID":"ZBVSCWWJ","properties":{"formattedCitation":"\\super 37\\nosupersub{}","plainCitation":"37","noteIndex":0},"citationItems":[{"id":"1wjoFLaO/r8VjFMUh","uris":["http://zotero.org/users/7459384/items/CEEJUJKN"],"itemData":{"id":250,"type":"article-journal","abstract":"The carbohydrate–insulin model of obesity posits that high-carbohydrate diets lead to excess insulin secretion, thereby promoting fat accumulation and increasing energy intake. Thus, low-carbohydrate diets are predicted to reduce ad libitum energy intake as compared to low-fat, high-carbohydrate diets. To test this hypothesis, 20 adults aged 29.9 ± 1.4 (mean ± s.e.m.) years with body mass index of 27.8 ± 1.3 kg m−2 were admitted as inpatients to the National Institutes of Health Clinical Center and randomized to consume ad libitum either a minimally processed, plant-based, low-fat diet (10.3% fat, 75.2% carbohydrate) with high glycemic load (85 g 1,000 kcal−1) or a minimally processed, animal-based, ketogenic, low-carbohydrate diet (75.8% fat, 10.0% carbohydrate) with low glycemic load (6 g 1,000 kcal−1) for 2 weeks followed immediately by the alternate diet for 2 weeks. One participant withdrew due to hypoglycemia during the low-carbohydrate diet. The primary outcomes compared mean daily ad libitum energy intake between each 2-week diet period as well as between the final week of each diet. We found that the low-fat diet led to 689 ± 73 kcal d−1 less energy intake than the low-carbohydrate diet over 2 weeks (P &lt; 0.0001) and 544 ± 68 kcal d−1 less over the final week (P &lt; 0.0001). Therefore, the predictions of the carbohydrate–insulin model were inconsistent with our observations. This study was registered on ClinicalTrials.gov as NCT03878108.","container-title":"Nature Medicine","DOI":"10.1038/s41591-020-01209-1","ISSN":"1546-170X","issue":"2","journalAbbreviation":"Nat Med","language":"en","license":"2021 This is a U.S. government work and not under copyright protection in the U.S.; foreign copyright protection may apply","note":"Bandiera_abtest: a\nCg_type: Nature Research Journals\nnumber: 2\nPrimary_atype: Research\npublisher: Nature Publishing Group\nSubject_term: Fat metabolism;Feeding behaviour;Obesity\nSubject_term_id: fat-metabolism;feeding-behaviour;obesity","page":"344-353","source":"www.nature.com","title":"Effect of a plant-based, low-fat diet versus an animal-based, ketogenic diet on ad libitum energy intake","volume":"27","author":[{"family":"Hall","given":"Kevin D."},{"family":"Guo","given":"Juen"},{"family":"Courville","given":"Amber B."},{"family":"Boring","given":"James"},{"family":"Brychta","given":"Robert"},{"family":"Chen","given":"Kong Y."},{"family":"Darcey","given":"Valerie"},{"family":"Forde","given":"Ciaran G."},{"family":"Gharib","given":"Ahmed M."},{"family":"Gallagher","given":"Isabelle"},{"family":"Howard","given":"Rebecca"},{"family":"Joseph","given":"Paule V."},{"family":"Milley","given":"Lauren"},{"family":"Ouwerkerk","given":"Ronald"},{"family":"Raisinger","given":"Klaudia"},{"family":"Rozga","given":"Irene"},{"family":"Schick","given":"Alex"},{"family":"Stagliano","given":"Michael"},{"family":"Torres","given":"Stephan"},{"family":"Walter","given":"Mary"},{"family":"Walter","given":"Peter"},{"family":"Yang","given":"Shanna"},{"family":"Chung","given":"Stephanie T."}],"issued":{"date-parts":[["2021",2]]}}}],"schema":"https://github.com/citation-style-language/schema/raw/master/csl-citation.json"} </w:instrText>
      </w:r>
      <w:r w:rsidRPr="00F549CC">
        <w:rPr>
          <w:rFonts w:ascii="Times New Roman" w:hAnsi="Times New Roman" w:cs="Times New Roman"/>
        </w:rPr>
        <w:fldChar w:fldCharType="separate"/>
      </w:r>
      <w:r w:rsidR="009C0D3D" w:rsidRPr="009C0D3D">
        <w:rPr>
          <w:rFonts w:ascii="Times New Roman" w:hAnsi="Times New Roman" w:cs="Times New Roman"/>
          <w:kern w:val="0"/>
          <w:vertAlign w:val="superscript"/>
        </w:rPr>
        <w:t>37</w:t>
      </w:r>
      <w:r w:rsidRPr="00F549CC">
        <w:rPr>
          <w:rFonts w:ascii="Times New Roman" w:hAnsi="Times New Roman" w:cs="Times New Roman"/>
        </w:rPr>
        <w:fldChar w:fldCharType="end"/>
      </w:r>
      <w:r w:rsidR="00916C90">
        <w:rPr>
          <w:rFonts w:ascii="Times New Roman" w:hAnsi="Times New Roman" w:cs="Times New Roman"/>
        </w:rPr>
        <w:t xml:space="preserve">, to avoid penalizing </w:t>
      </w:r>
      <w:r w:rsidR="00DD4693">
        <w:rPr>
          <w:rFonts w:ascii="Times New Roman" w:hAnsi="Times New Roman" w:cs="Times New Roman"/>
        </w:rPr>
        <w:t xml:space="preserve">foods with </w:t>
      </w:r>
      <w:r w:rsidR="008F540B">
        <w:rPr>
          <w:rFonts w:ascii="Times New Roman" w:hAnsi="Times New Roman" w:cs="Times New Roman"/>
        </w:rPr>
        <w:t xml:space="preserve">moderate </w:t>
      </w:r>
      <w:r w:rsidR="007E29CF">
        <w:rPr>
          <w:rFonts w:ascii="Times New Roman" w:hAnsi="Times New Roman" w:cs="Times New Roman"/>
        </w:rPr>
        <w:t>C</w:t>
      </w:r>
      <w:r w:rsidR="008F540B">
        <w:rPr>
          <w:rFonts w:ascii="Times New Roman" w:hAnsi="Times New Roman" w:cs="Times New Roman"/>
        </w:rPr>
        <w:t>alorie density</w:t>
      </w:r>
      <w:r>
        <w:rPr>
          <w:rFonts w:ascii="Times New Roman" w:eastAsia="Times New Roman" w:hAnsi="Times New Roman" w:cs="Times New Roman"/>
        </w:rPr>
        <w:t>.</w:t>
      </w:r>
    </w:p>
    <w:p w14:paraId="0704EFB9" w14:textId="77777777" w:rsidR="003F7176" w:rsidRDefault="003F7176" w:rsidP="003F7176">
      <w:pPr>
        <w:spacing w:line="480" w:lineRule="auto"/>
        <w:rPr>
          <w:rFonts w:ascii="Times New Roman" w:eastAsia="Times New Roman" w:hAnsi="Times New Roman" w:cs="Times New Roman"/>
        </w:rPr>
      </w:pPr>
    </w:p>
    <w:p w14:paraId="3617F930" w14:textId="77777777" w:rsidR="00C05F6D" w:rsidRDefault="000D22B3">
      <w:pPr>
        <w:spacing w:line="480" w:lineRule="auto"/>
        <w:rPr>
          <w:rFonts w:ascii="Times New Roman" w:eastAsia="Times New Roman" w:hAnsi="Times New Roman" w:cs="Times New Roman"/>
          <w:b/>
        </w:rPr>
      </w:pPr>
      <w:r>
        <w:rPr>
          <w:rFonts w:ascii="Times New Roman" w:eastAsia="Times New Roman" w:hAnsi="Times New Roman" w:cs="Times New Roman"/>
          <w:b/>
        </w:rPr>
        <w:t>Nutrient ratios</w:t>
      </w:r>
    </w:p>
    <w:p w14:paraId="50BF78C8" w14:textId="513A75E8"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t>The nutrient ratios score (</w:t>
      </w:r>
      <w:r>
        <w:rPr>
          <w:rFonts w:ascii="Times New Roman" w:eastAsia="Times New Roman" w:hAnsi="Times New Roman" w:cs="Times New Roman"/>
          <w:i/>
        </w:rPr>
        <w:t>NR</w:t>
      </w:r>
      <w:r>
        <w:rPr>
          <w:rFonts w:ascii="Times New Roman" w:eastAsia="Times New Roman" w:hAnsi="Times New Roman" w:cs="Times New Roman"/>
        </w:rPr>
        <w:t xml:space="preserve">) reflects the increased risk for noncommunicable diseases from consuming foods high in carbohydrates and low in fiber, high in sodium and low in potassium, and high in </w:t>
      </w:r>
      <w:r w:rsidR="00D81473">
        <w:rPr>
          <w:rFonts w:ascii="Times New Roman" w:eastAsia="Times New Roman" w:hAnsi="Times New Roman" w:cs="Times New Roman"/>
        </w:rPr>
        <w:t>saturated fat and low in unsaturated fat</w:t>
      </w:r>
      <w:r w:rsidR="004E58B7" w:rsidRPr="00F549CC">
        <w:rPr>
          <w:rFonts w:ascii="Times New Roman" w:hAnsi="Times New Roman" w:cs="Times New Roman"/>
        </w:rPr>
        <w:fldChar w:fldCharType="begin"/>
      </w:r>
      <w:r w:rsidR="00557152">
        <w:rPr>
          <w:rFonts w:ascii="Times New Roman" w:hAnsi="Times New Roman" w:cs="Times New Roman"/>
        </w:rPr>
        <w:instrText xml:space="preserve"> ADDIN ZOTERO_ITEM CSL_CITATION {"citationID":"jEcJQ41W","properties":{"formattedCitation":"\\super 3,27\\nosupersub{}","plainCitation":"3,27","noteIndex":0},"citationItems":[{"id":3101,"uris":["http://zotero.org/users/2850877/items/YY2LRKJT"],"itemData":{"id":3101,"type":"article-journal","abstract":"Nutrient profiling systems (NPS) aim to discriminate the healthfulness of foods for front-of-package labelling, warning labels, taxation, company ratings and more. Existing NPS often assess relatively few nutrients and ingredients, use inconsistent criteria across food categories and have not incorporated the newest science. Here, we developed and validated an NPS, the Food Compass, to incorporate a broader range of food characteristics, attributes and uniform scoring principles. We scored 54 attributes across 9 health-relevant domains: nutrient ratios, vitamins, minerals, food ingredients, additives, processing, specific lipids, fibre and protein, and phytochemicals. The domain scores were summed into a final Food Compass Score (FCS) ranging from 1 (least healthy) to 100 (most healthy) for all foods and beverages. Content validity was confirmed by assessing nutrients, food ingredients and other characteristics of public health concern; face validity was confirmed by assessing the FCS for 8,032 foods and beverages reported in NHANES/FNDDS 2015–16; and convergent and discriminant validity was confirmed from comparisons with the NOVA food processing classification, the Health Star Rating and the Nutri-Score. The FCS differentiated food categories and food items well, with mean ± s.d. ranging from 16.4 ± 17.7 for savoury snacks and sweet desserts to 78.6 ± 17.4 for legumes, nuts and seeds. In many food categories, the FCS provided important discrimination of specific foods and beverages as compared with NOVA, the Health Star Rating or the Nutri-Score. On the basis of demonstrated content, convergent and discriminant validity, the Food Compass provides an NPS scoring a broader range of attributes and domains than previous systems with uniform and transparent principles. This publicly available tool will help guide consumer choice, research, food policy, industry reformulations and mission-focused investment decisions.","container-title":"Nature Food","DOI":"10.1038/s43016-021-00381-y","ISSN":"2662-1355","issue":"10","journalAbbreviation":"Nat Food","language":"en","license":"2021 The Author(s), under exclusive licence to Springer Nature Limited","note":"Bandiera_abtest: a\nCg_type: Nature Research Journals\nnumber: 10\nPrimary_atype: Research\npublisher: Nature Publishing Group\nSubject_term: Business;Risk factors\nSubject_term_id: business;risk-factors","page":"809-818","source":"www.nature.com","title":"Food Compass is a nutrient profiling system using expanded characteristics for assessing healthfulness of foods","volume":"2","author":[{"family":"Mozaffarian","given":"Dariush"},{"family":"El-Abbadi","given":"Naglaa H."},{"family":"O’Hearn","given":"Meghan"},{"family":"Erndt-Marino","given":"Josh"},{"family":"Masters","given":"William A."},{"family":"Jacques","given":"Paul"},{"family":"Shi","given":"Peilin"},{"family":"Blumberg","given":"Jeffrey B."},{"family":"Micha","given":"Renata"}],"issued":{"date-parts":[["2021",10]]}}},{"id":4126,"uris":["http://zotero.org/users/2850877/items/4572G3LN"],"itemData":{"id":4126,"type":"article-journal","abstract":"A recent Perspective article described the “carbohydrate-insulin model (CIM)” of obesity, asserting that it “better reflects knowledge on the biology of weight control” as compared with what was described as the “dominant energy balance model (EBM),” which fails to consider “biological mechanisms that promote weight gain.” Unfortunately, the Perspective conflated and confused the principle of energy balance, a law of physics that is agnostic as to obesity mechanisms, with the EBM as a theoretical model of obesity that is firmly based on biology. In doing so, the authors presented a false choice between the CIM and a caricature of the EBM that does not reflect modern obesity science. Here, we present a more accurate description of the EBM where the brain is the primary organ responsible for body weight regulation operating mainly below our conscious awareness via complex endocrine, metabolic, and nervous system signals to control food intake in response to the body’s dynamic energy needs as well as environmental influences. We also describe the recent history of the CIM and show how the latest “most comprehensive formulation” abandons a formerly central feature that required fat accumulation in adipose tissue to be the primary driver of positive energy balance. As such, the new CIM can be considered a special case of the more comprehensive EBM but with a narrower focus on diets high in glycemic load as the primary factor responsible for common obesity. We review data from a wide variety of studies that address the validity of each model and demonstrate that the EBM is a more robust theory of obesity than the CIM.","container-title":"The American Journal of Clinical Nutrition","DOI":"10.1093/ajcn/nqac031","ISSN":"0002-9165","issue":"5","journalAbbreviation":"The American Journal of Clinical Nutrition","page":"1243-1254","source":"ScienceDirect","title":"The energy balance model of obesity: beyond calories in, calories out","title-short":"The energy balance model of obesity","volume":"115","author":[{"family":"Hall","given":"Kevin D"},{"family":"Farooqi","given":"I Sadaf"},{"family":"Friedman","given":"Jeffery M"},{"family":"Klein","given":"Samuel"},{"family":"Loos","given":"Ruth JF"},{"family":"Mangelsdorf","given":"David J"},{"family":"O’Rahilly","given":"Stephen"},{"family":"Ravussin","given":"Eric"},{"family":"Redman","given":"Leanne M"},{"family":"Ryan","given":"Donna H"},{"family":"Speakman","given":"John R"},{"family":"Tobias","given":"Deirdre K"}],"issued":{"date-parts":[["2022",5,1]]}}}],"schema":"https://github.com/citation-style-language/schema/raw/master/csl-citation.json"} </w:instrText>
      </w:r>
      <w:r w:rsidR="004E58B7" w:rsidRPr="00F549CC">
        <w:rPr>
          <w:rFonts w:ascii="Times New Roman" w:hAnsi="Times New Roman" w:cs="Times New Roman"/>
        </w:rPr>
        <w:fldChar w:fldCharType="separate"/>
      </w:r>
      <w:r w:rsidR="00557152" w:rsidRPr="00557152">
        <w:rPr>
          <w:rFonts w:ascii="Times New Roman" w:hAnsi="Times New Roman" w:cs="Times New Roman"/>
          <w:kern w:val="0"/>
          <w:vertAlign w:val="superscript"/>
        </w:rPr>
        <w:t>3,27</w:t>
      </w:r>
      <w:r w:rsidR="004E58B7" w:rsidRPr="00F549CC">
        <w:rPr>
          <w:rFonts w:ascii="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i/>
        </w:rPr>
        <w:t>NR</w:t>
      </w:r>
      <w:r>
        <w:rPr>
          <w:rFonts w:ascii="Times New Roman" w:eastAsia="Times New Roman" w:hAnsi="Times New Roman" w:cs="Times New Roman"/>
        </w:rPr>
        <w:t xml:space="preserve"> is the average of three negative sub scores each normalized between </w:t>
      </w:r>
      <w:r w:rsidR="009414D8">
        <w:rPr>
          <w:rFonts w:ascii="Times New Roman" w:eastAsia="Times New Roman" w:hAnsi="Times New Roman" w:cs="Times New Roman"/>
        </w:rPr>
        <w:t>–</w:t>
      </w:r>
      <w:r>
        <w:rPr>
          <w:rFonts w:ascii="Times New Roman" w:eastAsia="Times New Roman" w:hAnsi="Times New Roman" w:cs="Times New Roman"/>
        </w:rPr>
        <w:t xml:space="preserve">100 and 0: </w:t>
      </w:r>
      <w:r>
        <w:rPr>
          <w:rFonts w:ascii="Times New Roman" w:eastAsia="Times New Roman" w:hAnsi="Times New Roman" w:cs="Times New Roman"/>
          <w:i/>
        </w:rPr>
        <w:t>CFR</w:t>
      </w:r>
      <w:r>
        <w:rPr>
          <w:rFonts w:ascii="Times New Roman" w:eastAsia="Times New Roman" w:hAnsi="Times New Roman" w:cs="Times New Roman"/>
        </w:rPr>
        <w:t xml:space="preserve">, </w:t>
      </w:r>
      <w:r>
        <w:rPr>
          <w:rFonts w:ascii="Times New Roman" w:eastAsia="Times New Roman" w:hAnsi="Times New Roman" w:cs="Times New Roman"/>
          <w:i/>
        </w:rPr>
        <w:t>NaKR</w:t>
      </w:r>
      <w:r>
        <w:rPr>
          <w:rFonts w:ascii="Times New Roman" w:eastAsia="Times New Roman" w:hAnsi="Times New Roman" w:cs="Times New Roman"/>
        </w:rPr>
        <w:t xml:space="preserve">, and </w:t>
      </w:r>
      <w:r w:rsidR="00D90F8B">
        <w:rPr>
          <w:rFonts w:ascii="Times New Roman" w:eastAsia="Times New Roman" w:hAnsi="Times New Roman" w:cs="Times New Roman"/>
          <w:i/>
        </w:rPr>
        <w:t>SUR</w:t>
      </w:r>
      <w:r>
        <w:rPr>
          <w:rFonts w:ascii="Times New Roman" w:eastAsia="Times New Roman" w:hAnsi="Times New Roman" w:cs="Times New Roman"/>
        </w:rPr>
        <w:t xml:space="preserve">. </w:t>
      </w:r>
      <w:r>
        <w:rPr>
          <w:rFonts w:ascii="Times New Roman" w:eastAsia="Times New Roman" w:hAnsi="Times New Roman" w:cs="Times New Roman"/>
          <w:i/>
        </w:rPr>
        <w:t>NR</w:t>
      </w:r>
      <w:r>
        <w:rPr>
          <w:rFonts w:ascii="Times New Roman" w:eastAsia="Times New Roman" w:hAnsi="Times New Roman" w:cs="Times New Roman"/>
        </w:rPr>
        <w:t xml:space="preserve"> is normalized between 1 and 100. </w:t>
      </w:r>
      <w:r>
        <w:rPr>
          <w:rFonts w:ascii="Times New Roman" w:eastAsia="Times New Roman" w:hAnsi="Times New Roman" w:cs="Times New Roman"/>
          <w:i/>
        </w:rPr>
        <w:t>CFR</w:t>
      </w:r>
      <w:r>
        <w:rPr>
          <w:rFonts w:ascii="Times New Roman" w:eastAsia="Times New Roman" w:hAnsi="Times New Roman" w:cs="Times New Roman"/>
        </w:rPr>
        <w:t xml:space="preserve"> is the carbohydrate:fiber ratio. We assigned zero </w:t>
      </w:r>
      <w:r>
        <w:rPr>
          <w:rFonts w:ascii="Times New Roman" w:eastAsia="Times New Roman" w:hAnsi="Times New Roman" w:cs="Times New Roman"/>
          <w:i/>
        </w:rPr>
        <w:t>CFR</w:t>
      </w:r>
      <w:r>
        <w:rPr>
          <w:rFonts w:ascii="Times New Roman" w:eastAsia="Times New Roman" w:hAnsi="Times New Roman" w:cs="Times New Roman"/>
        </w:rPr>
        <w:t xml:space="preserve"> values to animal source foods containing no added sugar or starch, since naturally occurring carbohydrates in animal source foods are not associated with health risk</w:t>
      </w:r>
      <w:r w:rsidR="00EF30A0" w:rsidRPr="00F549CC">
        <w:rPr>
          <w:rFonts w:ascii="Times New Roman" w:hAnsi="Times New Roman" w:cs="Times New Roman"/>
        </w:rPr>
        <w:fldChar w:fldCharType="begin"/>
      </w:r>
      <w:r w:rsidR="009C0D3D">
        <w:rPr>
          <w:rFonts w:ascii="Times New Roman" w:hAnsi="Times New Roman" w:cs="Times New Roman"/>
        </w:rPr>
        <w:instrText xml:space="preserve"> ADDIN ZOTERO_ITEM CSL_CITATION {"citationID":"a2j76hhv71v","properties":{"formattedCitation":"\\super 39\\nosupersub{}","plainCitation":"39","noteIndex":0},"citationItems":[{"id":4188,"uris":["http://zotero.org/users/2850877/items/ZILGE935"],"itemData":{"id":4188,"type":"article-journal","abstract":"To develop a healthy diet score that is associated with health outcomes and is globally applicable using data from the Prospective Urban Rural Epidemiology (PURE) study and replicate it in five independent studies on a total of 245 000 people from 80 countries.A healthy diet score was developed in 147 642 people from the general population, from 21 countries in the PURE study, and the consistency of the associations of the score with events was examined in five large independent studies from 70 countries. The healthy diet score was developed based on six foods each of which has been associated with a significantly lower risk of mortality [i.e. fruit, vegetables, nuts, legumes, fish, and dairy (mainly whole-fat); range of scores, 0–6]. The main outcome measures were all-cause mortality and major cardiovascular events [cardiovascular disease (CVD)]. During a median follow-up of 9.3 years in PURE, compared with a diet score of ≤1 points, a diet score of ≥5 points was associated with a lower risk of mortality [hazard ratio (HR) 0.70; 95% confidence interval (CI) 0.63–0.77)], CVD (HR 0.82; 0.75–0.91), myocardial infarction (HR 0.86; 0.75–0.99), and stroke (HR 0.81; 0.71–0.93). In three independent studies in vascular patients, similar results were found, with a higher diet score being associated with lower mortality (HR 0.73; 0.66–0.81), CVD (HR 0.79; 0.72–0.87), myocardial infarction (HR 0.85; 0.71–0.99), and a non-statistically significant lower risk of stroke (HR 0.87; 0.73–1.03). Additionally, in two case-control studies, a higher diet score was associated with lower first myocardial infarction [odds ratio (OR) 0.72; 0.65–0.80] and stroke (OR 0.57; 0.50–0.65). A higher diet score was associated with a significantly lower risk of death or CVD in regions with lower than with higher gross national incomes (P for heterogeneity &amp;lt;0.0001). The PURE score showed slightly stronger associations with death or CVD than several other common diet scores (P &amp;lt; 0.001 for each comparison).A diet comprised of higher amounts of fruit, vegetables, nuts, legumes, fish, and whole-fat dairy is associated with lower CVD and mortality in all world regions, especially in countries with lower income where consumption of these foods is low.","container-title":"European Heart Journal","DOI":"10.1093/eurheartj/ehad269","ISSN":"0195-668X","issue":"28","journalAbbreviation":"European Heart Journal","page":"2560-2579","source":"Silverchair","title":"Diet, cardiovascular disease, and mortality in 80 countries","volume":"44","author":[{"family":"Mente","given":"Andrew"},{"family":"Dehghan","given":"Mahshid"},{"family":"Rangarajan","given":"Sumathy"},{"family":"O’Donnell","given":"Martin"},{"family":"Hu","given":"Weihong"},{"family":"Dagenais","given":"Gilles"},{"family":"Wielgosz","given":"Andreas"},{"family":"A. Lear","given":"Scott"},{"family":"Wei","given":"Li"},{"family":"Diaz","given":"Rafael"},{"family":"Avezum","given":"Alvaro"},{"family":"Lopez-Jaramillo","given":"Patricio"},{"family":"Lanas","given":"Fernando"},{"family":"Swaminathan","given":"Sumathi"},{"family":"Kaur","given":"Manmeet"},{"family":"Vijayakumar","given":"K"},{"family":"Mohan","given":"Viswanathan"},{"family":"Gupta","given":"Rajeev"},{"family":"Szuba","given":"Andrzej"},{"family":"Iqbal","given":"Romaina"},{"family":"Yusuf","given":"Rita"},{"family":"Mohammadifard","given":"Noushin"},{"family":"Khatib","given":"Rasha"},{"family":"Nasir","given":"Nafiza Mat"},{"family":"Karsidag","given":"Kubilay"},{"family":"Rosengren","given":"Annika"},{"family":"Yusufali","given":"Afzalhussein"},{"family":"Wentzel-Viljoen","given":"Edelweiss"},{"family":"Chifamba","given":"Jephat"},{"family":"Dans","given":"Antonio"},{"family":"Alhabib","given":"Khalid F"},{"family":"Yeates","given":"Karen"},{"family":"Teo","given":"Koon"},{"family":"Gerstein","given":"Hertzel C"},{"family":"Yusuf","given":"Salim"}],"issued":{"date-parts":[["2023",7,21]]}}}],"schema":"https://github.com/citation-style-language/schema/raw/master/csl-citation.json"} </w:instrText>
      </w:r>
      <w:r w:rsidR="00EF30A0" w:rsidRPr="00F549CC">
        <w:rPr>
          <w:rFonts w:ascii="Times New Roman" w:hAnsi="Times New Roman" w:cs="Times New Roman"/>
        </w:rPr>
        <w:fldChar w:fldCharType="separate"/>
      </w:r>
      <w:r w:rsidR="009C0D3D" w:rsidRPr="009C0D3D">
        <w:rPr>
          <w:rFonts w:ascii="Times New Roman" w:hAnsi="Times New Roman" w:cs="Times New Roman"/>
          <w:kern w:val="0"/>
          <w:vertAlign w:val="superscript"/>
        </w:rPr>
        <w:t>39</w:t>
      </w:r>
      <w:r w:rsidR="00EF30A0" w:rsidRPr="00F549CC">
        <w:rPr>
          <w:rFonts w:ascii="Times New Roman" w:hAnsi="Times New Roman" w:cs="Times New Roman"/>
        </w:rPr>
        <w:fldChar w:fldCharType="end"/>
      </w:r>
      <w:r>
        <w:rPr>
          <w:rFonts w:ascii="Times New Roman" w:eastAsia="Times New Roman" w:hAnsi="Times New Roman" w:cs="Times New Roman"/>
        </w:rPr>
        <w:t>.</w:t>
      </w:r>
      <w:r w:rsidR="00A9605E">
        <w:rPr>
          <w:rFonts w:ascii="Times New Roman" w:eastAsia="Times New Roman" w:hAnsi="Times New Roman" w:cs="Times New Roman"/>
        </w:rPr>
        <w:t xml:space="preserve"> We also did this for unsweetened soymilk to be consistent with our treatment of cow milk.</w:t>
      </w:r>
      <w:r>
        <w:rPr>
          <w:rFonts w:ascii="Times New Roman" w:eastAsia="Times New Roman" w:hAnsi="Times New Roman" w:cs="Times New Roman"/>
        </w:rPr>
        <w:t xml:space="preserve"> </w:t>
      </w:r>
      <w:r>
        <w:rPr>
          <w:rFonts w:ascii="Times New Roman" w:eastAsia="Times New Roman" w:hAnsi="Times New Roman" w:cs="Times New Roman"/>
          <w:i/>
        </w:rPr>
        <w:t>NaKR</w:t>
      </w:r>
      <w:r>
        <w:rPr>
          <w:rFonts w:ascii="Times New Roman" w:eastAsia="Times New Roman" w:hAnsi="Times New Roman" w:cs="Times New Roman"/>
        </w:rPr>
        <w:t xml:space="preserve"> is the sodium:potassium ratio. We assigned zero </w:t>
      </w:r>
      <w:r>
        <w:rPr>
          <w:rFonts w:ascii="Times New Roman" w:eastAsia="Times New Roman" w:hAnsi="Times New Roman" w:cs="Times New Roman"/>
          <w:i/>
        </w:rPr>
        <w:t xml:space="preserve">NaKR </w:t>
      </w:r>
      <w:r>
        <w:rPr>
          <w:rFonts w:ascii="Times New Roman" w:eastAsia="Times New Roman" w:hAnsi="Times New Roman" w:cs="Times New Roman"/>
        </w:rPr>
        <w:t>values to foods containing &lt;0.9 mg sodium/Calorie, in alignment with the World Health Organization’s recommendations for adults to limit daily sodium intake to &lt;2,000 mg (assuming an average energy requirement of 2</w:t>
      </w:r>
      <w:r w:rsidR="00727347">
        <w:rPr>
          <w:rFonts w:ascii="Times New Roman" w:eastAsia="Times New Roman" w:hAnsi="Times New Roman" w:cs="Times New Roman"/>
        </w:rPr>
        <w:t>,</w:t>
      </w:r>
      <w:r>
        <w:rPr>
          <w:rFonts w:ascii="Times New Roman" w:eastAsia="Times New Roman" w:hAnsi="Times New Roman" w:cs="Times New Roman"/>
        </w:rPr>
        <w:t>227 kcal for moderately active individuals</w:t>
      </w:r>
      <w:r w:rsidR="005864C1" w:rsidRPr="00F549CC">
        <w:rPr>
          <w:rFonts w:ascii="Times New Roman" w:hAnsi="Times New Roman" w:cs="Times New Roman"/>
        </w:rPr>
        <w:fldChar w:fldCharType="begin"/>
      </w:r>
      <w:r w:rsidR="009C0D3D">
        <w:rPr>
          <w:rFonts w:ascii="Times New Roman" w:hAnsi="Times New Roman" w:cs="Times New Roman"/>
        </w:rPr>
        <w:instrText xml:space="preserve"> ADDIN ZOTERO_ITEM CSL_CITATION {"citationID":"pt2WmcXn","properties":{"formattedCitation":"\\super 36\\nosupersub{}","plainCitation":"36","noteIndex":0},"citationItems":[{"id":"1wjoFLaO/8M6suf3j","uris":["http://zotero.org/users/7459384/items/PRND9IK7"],"itemData":{"id":249,"type":"report","collection-title":"EFSA Supporting Publications","language":"en","note":"section: Scientific outputs","number":"14","title":"Dietary Reference Values for nutrients Summary report","URL":"https://www.efsa.europa.eu/en/supporting/pub/e15121","author":[{"family":"European Food Safety Authority (EFSA)","given":""}],"accessed":{"date-parts":[["2021",8,18]]},"issued":{"date-parts":[["2017"]]}}}],"schema":"https://github.com/citation-style-language/schema/raw/master/csl-citation.json"} </w:instrText>
      </w:r>
      <w:r w:rsidR="005864C1" w:rsidRPr="00F549CC">
        <w:rPr>
          <w:rFonts w:ascii="Times New Roman" w:hAnsi="Times New Roman" w:cs="Times New Roman"/>
        </w:rPr>
        <w:fldChar w:fldCharType="separate"/>
      </w:r>
      <w:r w:rsidR="009C0D3D" w:rsidRPr="009C0D3D">
        <w:rPr>
          <w:rFonts w:ascii="Times New Roman" w:hAnsi="Times New Roman" w:cs="Times New Roman"/>
          <w:kern w:val="0"/>
          <w:vertAlign w:val="superscript"/>
        </w:rPr>
        <w:t>36</w:t>
      </w:r>
      <w:r w:rsidR="005864C1" w:rsidRPr="00F549CC">
        <w:rPr>
          <w:rFonts w:ascii="Times New Roman" w:hAnsi="Times New Roman" w:cs="Times New Roman"/>
        </w:rPr>
        <w:fldChar w:fldCharType="end"/>
      </w:r>
      <w:r>
        <w:rPr>
          <w:rFonts w:ascii="Times New Roman" w:eastAsia="Times New Roman" w:hAnsi="Times New Roman" w:cs="Times New Roman"/>
        </w:rPr>
        <w:t xml:space="preserve">). </w:t>
      </w:r>
      <w:r w:rsidR="000C3E15">
        <w:rPr>
          <w:rFonts w:ascii="Times New Roman" w:eastAsia="Times New Roman" w:hAnsi="Times New Roman" w:cs="Times New Roman"/>
          <w:i/>
        </w:rPr>
        <w:t>SUR</w:t>
      </w:r>
      <w:r w:rsidR="000C3E15">
        <w:rPr>
          <w:rFonts w:ascii="Times New Roman" w:eastAsia="Times New Roman" w:hAnsi="Times New Roman" w:cs="Times New Roman"/>
        </w:rPr>
        <w:t xml:space="preserve"> </w:t>
      </w:r>
      <w:r>
        <w:rPr>
          <w:rFonts w:ascii="Times New Roman" w:eastAsia="Times New Roman" w:hAnsi="Times New Roman" w:cs="Times New Roman"/>
        </w:rPr>
        <w:t xml:space="preserve">is the </w:t>
      </w:r>
      <w:r w:rsidR="000C3E15">
        <w:rPr>
          <w:rFonts w:ascii="Times New Roman" w:eastAsia="Times New Roman" w:hAnsi="Times New Roman" w:cs="Times New Roman"/>
        </w:rPr>
        <w:t>SFA</w:t>
      </w:r>
      <w:r>
        <w:rPr>
          <w:rFonts w:ascii="Times New Roman" w:eastAsia="Times New Roman" w:hAnsi="Times New Roman" w:cs="Times New Roman"/>
        </w:rPr>
        <w:t>:</w:t>
      </w:r>
      <w:r w:rsidR="000C3E15">
        <w:rPr>
          <w:rFonts w:ascii="Times New Roman" w:eastAsia="Times New Roman" w:hAnsi="Times New Roman" w:cs="Times New Roman"/>
        </w:rPr>
        <w:t xml:space="preserve">UFA </w:t>
      </w:r>
      <w:r>
        <w:rPr>
          <w:rFonts w:ascii="Times New Roman" w:eastAsia="Times New Roman" w:hAnsi="Times New Roman" w:cs="Times New Roman"/>
        </w:rPr>
        <w:t xml:space="preserve">ratio. We assigned zero </w:t>
      </w:r>
      <w:r w:rsidR="00627845">
        <w:rPr>
          <w:rFonts w:ascii="Times New Roman" w:eastAsia="Times New Roman" w:hAnsi="Times New Roman" w:cs="Times New Roman"/>
          <w:i/>
        </w:rPr>
        <w:lastRenderedPageBreak/>
        <w:t xml:space="preserve">SUR </w:t>
      </w:r>
      <w:r>
        <w:rPr>
          <w:rFonts w:ascii="Times New Roman" w:eastAsia="Times New Roman" w:hAnsi="Times New Roman" w:cs="Times New Roman"/>
        </w:rPr>
        <w:t>values to foods containing &lt;</w:t>
      </w:r>
      <w:r w:rsidR="000C3E15">
        <w:rPr>
          <w:rFonts w:ascii="Times New Roman" w:eastAsia="Times New Roman" w:hAnsi="Times New Roman" w:cs="Times New Roman"/>
        </w:rPr>
        <w:t>10% of energy from fat</w:t>
      </w:r>
      <w:r w:rsidR="0030632B">
        <w:rPr>
          <w:rFonts w:ascii="Times New Roman" w:eastAsia="Times New Roman" w:hAnsi="Times New Roman" w:cs="Times New Roman"/>
        </w:rPr>
        <w:t>,</w:t>
      </w:r>
      <w:r w:rsidR="00AF56EE" w:rsidRPr="00AF56EE">
        <w:rPr>
          <w:rFonts w:ascii="Times New Roman" w:hAnsi="Times New Roman" w:cs="Times New Roman"/>
        </w:rPr>
        <w:t xml:space="preserve"> </w:t>
      </w:r>
      <w:r w:rsidR="00AF56EE">
        <w:rPr>
          <w:rFonts w:ascii="Times New Roman" w:hAnsi="Times New Roman" w:cs="Times New Roman"/>
        </w:rPr>
        <w:t xml:space="preserve">to avoid penalizing foods </w:t>
      </w:r>
      <w:r w:rsidR="0030632B">
        <w:rPr>
          <w:rFonts w:ascii="Times New Roman" w:hAnsi="Times New Roman" w:cs="Times New Roman"/>
        </w:rPr>
        <w:t xml:space="preserve">containing small </w:t>
      </w:r>
      <w:r w:rsidR="00FB17FD">
        <w:rPr>
          <w:rFonts w:ascii="Times New Roman" w:hAnsi="Times New Roman" w:cs="Times New Roman"/>
        </w:rPr>
        <w:t>quantities</w:t>
      </w:r>
      <w:r w:rsidR="0030632B">
        <w:rPr>
          <w:rFonts w:ascii="Times New Roman" w:hAnsi="Times New Roman" w:cs="Times New Roman"/>
        </w:rPr>
        <w:t xml:space="preserve"> </w:t>
      </w:r>
      <w:r w:rsidR="00EC127F">
        <w:rPr>
          <w:rFonts w:ascii="Times New Roman" w:hAnsi="Times New Roman" w:cs="Times New Roman"/>
        </w:rPr>
        <w:t xml:space="preserve">of </w:t>
      </w:r>
      <w:r w:rsidR="00F64E5F">
        <w:rPr>
          <w:rFonts w:ascii="Times New Roman" w:hAnsi="Times New Roman" w:cs="Times New Roman"/>
        </w:rPr>
        <w:t xml:space="preserve">fat overall </w:t>
      </w:r>
      <w:r w:rsidR="00AF56EE">
        <w:rPr>
          <w:rFonts w:ascii="Times New Roman" w:hAnsi="Times New Roman" w:cs="Times New Roman"/>
        </w:rPr>
        <w:t xml:space="preserve">for </w:t>
      </w:r>
      <w:r w:rsidR="00824035">
        <w:rPr>
          <w:rFonts w:ascii="Times New Roman" w:hAnsi="Times New Roman" w:cs="Times New Roman"/>
        </w:rPr>
        <w:t xml:space="preserve">having </w:t>
      </w:r>
      <w:r w:rsidR="00F64E5F">
        <w:rPr>
          <w:rFonts w:ascii="Times New Roman" w:hAnsi="Times New Roman" w:cs="Times New Roman"/>
        </w:rPr>
        <w:t>minimal quantities of saturated fats</w:t>
      </w:r>
      <w:r>
        <w:rPr>
          <w:rFonts w:ascii="Times New Roman" w:eastAsia="Times New Roman" w:hAnsi="Times New Roman" w:cs="Times New Roman"/>
        </w:rPr>
        <w:t>.</w:t>
      </w:r>
    </w:p>
    <w:p w14:paraId="5C898265" w14:textId="77777777" w:rsidR="00C05F6D" w:rsidRDefault="00C05F6D">
      <w:pPr>
        <w:spacing w:line="480" w:lineRule="auto"/>
        <w:rPr>
          <w:rFonts w:ascii="Times New Roman" w:eastAsia="Times New Roman" w:hAnsi="Times New Roman" w:cs="Times New Roman"/>
        </w:rPr>
      </w:pPr>
    </w:p>
    <w:p w14:paraId="225C528E" w14:textId="77777777" w:rsidR="00C05F6D" w:rsidRDefault="000D22B3">
      <w:pPr>
        <w:spacing w:line="480" w:lineRule="auto"/>
        <w:rPr>
          <w:rFonts w:ascii="Times New Roman" w:eastAsia="Times New Roman" w:hAnsi="Times New Roman" w:cs="Times New Roman"/>
          <w:b/>
        </w:rPr>
      </w:pPr>
      <w:r>
        <w:rPr>
          <w:rFonts w:ascii="Times New Roman" w:eastAsia="Times New Roman" w:hAnsi="Times New Roman" w:cs="Times New Roman"/>
          <w:b/>
        </w:rPr>
        <w:t>Liquid dairy and dairy alternatives</w:t>
      </w:r>
    </w:p>
    <w:p w14:paraId="4AD7E0B6" w14:textId="77777777"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t xml:space="preserve">For unsweetened milk, kefir, and semi-liquid yogurts, including plant-based varieties, we based the scores for </w:t>
      </w:r>
      <w:r>
        <w:rPr>
          <w:rFonts w:ascii="Times New Roman" w:eastAsia="Times New Roman" w:hAnsi="Times New Roman" w:cs="Times New Roman"/>
          <w:i/>
        </w:rPr>
        <w:t>V</w:t>
      </w:r>
      <w:r>
        <w:rPr>
          <w:rFonts w:ascii="Times New Roman" w:eastAsia="Times New Roman" w:hAnsi="Times New Roman" w:cs="Times New Roman"/>
        </w:rPr>
        <w:t xml:space="preserve">, </w:t>
      </w:r>
      <w:r>
        <w:rPr>
          <w:rFonts w:ascii="Times New Roman" w:eastAsia="Times New Roman" w:hAnsi="Times New Roman" w:cs="Times New Roman"/>
          <w:i/>
        </w:rPr>
        <w:t>M</w:t>
      </w:r>
      <w:r>
        <w:rPr>
          <w:rFonts w:ascii="Times New Roman" w:eastAsia="Times New Roman" w:hAnsi="Times New Roman" w:cs="Times New Roman"/>
        </w:rPr>
        <w:t xml:space="preserve">, </w:t>
      </w:r>
      <w:r>
        <w:rPr>
          <w:rFonts w:ascii="Times New Roman" w:eastAsia="Times New Roman" w:hAnsi="Times New Roman" w:cs="Times New Roman"/>
          <w:i/>
        </w:rPr>
        <w:t>eaa</w:t>
      </w:r>
      <w:r>
        <w:rPr>
          <w:rFonts w:ascii="Times New Roman" w:eastAsia="Times New Roman" w:hAnsi="Times New Roman" w:cs="Times New Roman"/>
        </w:rPr>
        <w:t xml:space="preserve">, </w:t>
      </w:r>
      <w:r>
        <w:rPr>
          <w:rFonts w:ascii="Times New Roman" w:eastAsia="Times New Roman" w:hAnsi="Times New Roman" w:cs="Times New Roman"/>
          <w:i/>
        </w:rPr>
        <w:t>n3</w:t>
      </w:r>
      <w:r>
        <w:rPr>
          <w:rFonts w:ascii="Times New Roman" w:eastAsia="Times New Roman" w:hAnsi="Times New Roman" w:cs="Times New Roman"/>
        </w:rPr>
        <w:t xml:space="preserve">, and </w:t>
      </w:r>
      <w:r>
        <w:rPr>
          <w:rFonts w:ascii="Times New Roman" w:eastAsia="Times New Roman" w:hAnsi="Times New Roman" w:cs="Times New Roman"/>
          <w:i/>
        </w:rPr>
        <w:t>F</w:t>
      </w:r>
      <w:r>
        <w:rPr>
          <w:rFonts w:ascii="Times New Roman" w:eastAsia="Times New Roman" w:hAnsi="Times New Roman" w:cs="Times New Roman"/>
        </w:rPr>
        <w:t xml:space="preserve"> exclusively on </w:t>
      </w:r>
      <w:r>
        <w:rPr>
          <w:rFonts w:ascii="Times New Roman" w:eastAsia="Times New Roman" w:hAnsi="Times New Roman" w:cs="Times New Roman"/>
          <w:i/>
        </w:rPr>
        <w:t>VE</w:t>
      </w:r>
      <w:r>
        <w:rPr>
          <w:rFonts w:ascii="Times New Roman" w:eastAsia="Times New Roman" w:hAnsi="Times New Roman" w:cs="Times New Roman"/>
        </w:rPr>
        <w:t xml:space="preserve">, </w:t>
      </w:r>
      <w:r>
        <w:rPr>
          <w:rFonts w:ascii="Times New Roman" w:eastAsia="Times New Roman" w:hAnsi="Times New Roman" w:cs="Times New Roman"/>
          <w:i/>
        </w:rPr>
        <w:t>ME</w:t>
      </w:r>
      <w:r>
        <w:rPr>
          <w:rFonts w:ascii="Times New Roman" w:eastAsia="Times New Roman" w:hAnsi="Times New Roman" w:cs="Times New Roman"/>
        </w:rPr>
        <w:t xml:space="preserve">, </w:t>
      </w:r>
      <w:r>
        <w:rPr>
          <w:rFonts w:ascii="Times New Roman" w:eastAsia="Times New Roman" w:hAnsi="Times New Roman" w:cs="Times New Roman"/>
          <w:i/>
        </w:rPr>
        <w:t>eaaE</w:t>
      </w:r>
      <w:r>
        <w:rPr>
          <w:rFonts w:ascii="Times New Roman" w:eastAsia="Times New Roman" w:hAnsi="Times New Roman" w:cs="Times New Roman"/>
        </w:rPr>
        <w:t xml:space="preserve">, </w:t>
      </w:r>
      <w:r>
        <w:rPr>
          <w:rFonts w:ascii="Times New Roman" w:eastAsia="Times New Roman" w:hAnsi="Times New Roman" w:cs="Times New Roman"/>
          <w:i/>
        </w:rPr>
        <w:t>n3E</w:t>
      </w:r>
      <w:r>
        <w:rPr>
          <w:rFonts w:ascii="Times New Roman" w:eastAsia="Times New Roman" w:hAnsi="Times New Roman" w:cs="Times New Roman"/>
        </w:rPr>
        <w:t xml:space="preserve">, and </w:t>
      </w:r>
      <w:r>
        <w:rPr>
          <w:rFonts w:ascii="Times New Roman" w:eastAsia="Times New Roman" w:hAnsi="Times New Roman" w:cs="Times New Roman"/>
          <w:i/>
        </w:rPr>
        <w:t>FE</w:t>
      </w:r>
      <w:r>
        <w:rPr>
          <w:rFonts w:ascii="Times New Roman" w:eastAsia="Times New Roman" w:hAnsi="Times New Roman" w:cs="Times New Roman"/>
        </w:rPr>
        <w:t>, respectively, since they are low in Calories, and their mass is not a barrier to consumption as it is with solid foods. We scaled powdered milk to the same energy density as liquid milk, so that it would be analyzed in the form typically consumed.</w:t>
      </w:r>
    </w:p>
    <w:p w14:paraId="56D478C3" w14:textId="77777777" w:rsidR="00C05F6D" w:rsidRDefault="00C05F6D">
      <w:pPr>
        <w:spacing w:line="480" w:lineRule="auto"/>
        <w:rPr>
          <w:rFonts w:ascii="Times New Roman" w:eastAsia="Times New Roman" w:hAnsi="Times New Roman" w:cs="Times New Roman"/>
        </w:rPr>
      </w:pPr>
    </w:p>
    <w:p w14:paraId="3029B818" w14:textId="77777777" w:rsidR="00C05F6D" w:rsidRDefault="000D22B3">
      <w:pPr>
        <w:spacing w:line="480" w:lineRule="auto"/>
        <w:rPr>
          <w:rFonts w:ascii="Times New Roman" w:eastAsia="Times New Roman" w:hAnsi="Times New Roman" w:cs="Times New Roman"/>
          <w:b/>
        </w:rPr>
      </w:pPr>
      <w:r>
        <w:rPr>
          <w:rFonts w:ascii="Times New Roman" w:eastAsia="Times New Roman" w:hAnsi="Times New Roman" w:cs="Times New Roman"/>
          <w:b/>
        </w:rPr>
        <w:t>Nutrient Density Score</w:t>
      </w:r>
    </w:p>
    <w:p w14:paraId="4B882FBC" w14:textId="77777777"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Nutrient Density Score reflects the overall quantity and quality of essential nutrients of public health priority. The Nutrient Density Score is normalized between 1 and 100 where 1 represents the food with the lowest nutrient density and 100 represents the food with the highest nutrient density. The Nutrient Density Score is the weighted average of four normalized dietary attribute scores: vitamins (35%), minerals (35%), essential amino acids (20%), </w:t>
      </w:r>
      <w:r>
        <w:rPr>
          <w:rFonts w:ascii="Times New Roman" w:eastAsia="Times New Roman" w:hAnsi="Times New Roman" w:cs="Times New Roman"/>
          <w:i/>
        </w:rPr>
        <w:t>n-</w:t>
      </w:r>
      <w:r>
        <w:rPr>
          <w:rFonts w:ascii="Times New Roman" w:eastAsia="Times New Roman" w:hAnsi="Times New Roman" w:cs="Times New Roman"/>
        </w:rPr>
        <w:t>3 fatty acids (10%).</w:t>
      </w:r>
    </w:p>
    <w:p w14:paraId="429C0FEB" w14:textId="77777777" w:rsidR="00C05F6D" w:rsidRDefault="00C05F6D">
      <w:pPr>
        <w:spacing w:line="480" w:lineRule="auto"/>
        <w:rPr>
          <w:rFonts w:ascii="Times New Roman" w:eastAsia="Times New Roman" w:hAnsi="Times New Roman" w:cs="Times New Roman"/>
        </w:rPr>
      </w:pPr>
    </w:p>
    <w:p w14:paraId="781B954A" w14:textId="77777777" w:rsidR="00C05F6D" w:rsidRDefault="000D22B3">
      <w:pPr>
        <w:spacing w:line="480" w:lineRule="auto"/>
        <w:rPr>
          <w:rFonts w:ascii="Times New Roman" w:eastAsia="Times New Roman" w:hAnsi="Times New Roman" w:cs="Times New Roman"/>
          <w:b/>
        </w:rPr>
      </w:pPr>
      <w:r>
        <w:rPr>
          <w:rFonts w:ascii="Times New Roman" w:eastAsia="Times New Roman" w:hAnsi="Times New Roman" w:cs="Times New Roman"/>
          <w:b/>
        </w:rPr>
        <w:t>Software</w:t>
      </w:r>
    </w:p>
    <w:p w14:paraId="553B3FCD" w14:textId="77777777"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t>All analyses were conducted using R version 4.3.1.</w:t>
      </w:r>
    </w:p>
    <w:p w14:paraId="5D0B8858" w14:textId="77777777" w:rsidR="00C05F6D" w:rsidRDefault="00C05F6D">
      <w:pPr>
        <w:spacing w:line="480" w:lineRule="auto"/>
        <w:rPr>
          <w:rFonts w:ascii="Times New Roman" w:eastAsia="Times New Roman" w:hAnsi="Times New Roman" w:cs="Times New Roman"/>
        </w:rPr>
      </w:pPr>
    </w:p>
    <w:p w14:paraId="1E7A6EE3" w14:textId="77777777" w:rsidR="00C05F6D" w:rsidRDefault="000D22B3">
      <w:pPr>
        <w:spacing w:line="480" w:lineRule="auto"/>
        <w:rPr>
          <w:rFonts w:ascii="Times New Roman" w:eastAsia="Times New Roman" w:hAnsi="Times New Roman" w:cs="Times New Roman"/>
          <w:b/>
        </w:rPr>
      </w:pPr>
      <w:r>
        <w:rPr>
          <w:rFonts w:ascii="Times New Roman" w:eastAsia="Times New Roman" w:hAnsi="Times New Roman" w:cs="Times New Roman"/>
          <w:b/>
        </w:rPr>
        <w:t>Food composition data</w:t>
      </w:r>
    </w:p>
    <w:p w14:paraId="3C4BC045" w14:textId="75B0897E" w:rsidR="00CE3674" w:rsidRDefault="0043758F">
      <w:pPr>
        <w:spacing w:line="480" w:lineRule="auto"/>
        <w:rPr>
          <w:rFonts w:ascii="Times New Roman" w:eastAsia="Times New Roman" w:hAnsi="Times New Roman" w:cs="Times New Roman"/>
        </w:rPr>
      </w:pPr>
      <w:r>
        <w:rPr>
          <w:rFonts w:ascii="Times New Roman" w:eastAsia="Times New Roman" w:hAnsi="Times New Roman" w:cs="Times New Roman"/>
        </w:rPr>
        <w:t>For the NVS analysis, w</w:t>
      </w:r>
      <w:r w:rsidR="000D22B3">
        <w:rPr>
          <w:rFonts w:ascii="Times New Roman" w:eastAsia="Times New Roman" w:hAnsi="Times New Roman" w:cs="Times New Roman"/>
        </w:rPr>
        <w:t xml:space="preserve">e built </w:t>
      </w:r>
      <w:r w:rsidR="008E11E3">
        <w:rPr>
          <w:rFonts w:ascii="Times New Roman" w:eastAsia="Times New Roman" w:hAnsi="Times New Roman" w:cs="Times New Roman"/>
        </w:rPr>
        <w:t xml:space="preserve">a </w:t>
      </w:r>
      <w:r w:rsidR="0010669F">
        <w:rPr>
          <w:rFonts w:ascii="Times New Roman" w:eastAsia="Times New Roman" w:hAnsi="Times New Roman" w:cs="Times New Roman"/>
        </w:rPr>
        <w:t>master</w:t>
      </w:r>
      <w:r w:rsidR="000D22B3">
        <w:rPr>
          <w:rFonts w:ascii="Times New Roman" w:eastAsia="Times New Roman" w:hAnsi="Times New Roman" w:cs="Times New Roman"/>
        </w:rPr>
        <w:t xml:space="preserve"> food composition database for Indonesia</w:t>
      </w:r>
      <w:r>
        <w:rPr>
          <w:rFonts w:ascii="Times New Roman" w:eastAsia="Times New Roman" w:hAnsi="Times New Roman" w:cs="Times New Roman"/>
        </w:rPr>
        <w:t>n</w:t>
      </w:r>
      <w:r w:rsidR="000D22B3">
        <w:rPr>
          <w:rFonts w:ascii="Times New Roman" w:eastAsia="Times New Roman" w:hAnsi="Times New Roman" w:cs="Times New Roman"/>
        </w:rPr>
        <w:t xml:space="preserve"> and Bangladesh</w:t>
      </w:r>
      <w:r>
        <w:rPr>
          <w:rFonts w:ascii="Times New Roman" w:eastAsia="Times New Roman" w:hAnsi="Times New Roman" w:cs="Times New Roman"/>
        </w:rPr>
        <w:t>i foods</w:t>
      </w:r>
      <w:r w:rsidR="000D22B3">
        <w:rPr>
          <w:rFonts w:ascii="Times New Roman" w:eastAsia="Times New Roman" w:hAnsi="Times New Roman" w:cs="Times New Roman"/>
        </w:rPr>
        <w:t xml:space="preserve">, with values for Calories, carbohydrates, fiber, mono and polyunsaturated fatty acids, saturated fatty acids, 11 vitamins, 6 minerals, short and long chain </w:t>
      </w:r>
      <w:r w:rsidR="000D22B3">
        <w:rPr>
          <w:rFonts w:ascii="Times New Roman" w:eastAsia="Times New Roman" w:hAnsi="Times New Roman" w:cs="Times New Roman"/>
          <w:i/>
        </w:rPr>
        <w:t>n-</w:t>
      </w:r>
      <w:r w:rsidR="000D22B3">
        <w:rPr>
          <w:rFonts w:ascii="Times New Roman" w:eastAsia="Times New Roman" w:hAnsi="Times New Roman" w:cs="Times New Roman"/>
        </w:rPr>
        <w:t xml:space="preserve">3 fatty acids, </w:t>
      </w:r>
      <w:r w:rsidR="000D22B3">
        <w:rPr>
          <w:rFonts w:ascii="Times New Roman" w:eastAsia="Times New Roman" w:hAnsi="Times New Roman" w:cs="Times New Roman"/>
        </w:rPr>
        <w:lastRenderedPageBreak/>
        <w:t>essential amino acids, DIAAS, and phytate</w:t>
      </w:r>
      <w:r w:rsidR="00A74E3D" w:rsidRPr="00F549CC">
        <w:rPr>
          <w:rFonts w:ascii="Times New Roman" w:eastAsia="Times New Roman" w:hAnsi="Times New Roman" w:cs="Times New Roman"/>
        </w:rPr>
        <w:fldChar w:fldCharType="begin"/>
      </w:r>
      <w:r w:rsidR="009C0D3D">
        <w:rPr>
          <w:rFonts w:ascii="Times New Roman" w:eastAsia="Times New Roman" w:hAnsi="Times New Roman" w:cs="Times New Roman"/>
        </w:rPr>
        <w:instrText xml:space="preserve"> ADDIN ZOTERO_ITEM CSL_CITATION {"citationID":"9EXb9hL6","properties":{"formattedCitation":"\\super 40\\nosupersub{}","plainCitation":"40","noteIndex":0},"citationItems":[{"id":"1wjoFLaO/33SbKgif","uris":["http://zotero.org/users/7459384/items/XYK6R6UB"],"itemData":{"id":358,"type":"book","event-place":"Rome, Italy.","publisher-place":"Rome, Italy.","title":"FAO/INFOODS/IZiNCG Global Food Composition Database for Phytate Version 1.0 - PhyFoodComp 1.0","URL":"http://www.fao.org/3/i8542en/I8542EN.pdf","author":[{"family":"FAO/IZiNCG","given":""}],"issued":{"date-parts":[["2018"]]}}}],"schema":"https://github.com/citation-style-language/schema/raw/master/csl-citation.json"} </w:instrText>
      </w:r>
      <w:r w:rsidR="00A74E3D" w:rsidRPr="00F549CC">
        <w:rPr>
          <w:rFonts w:ascii="Times New Roman" w:eastAsia="Times New Roman" w:hAnsi="Times New Roman" w:cs="Times New Roman"/>
        </w:rPr>
        <w:fldChar w:fldCharType="separate"/>
      </w:r>
      <w:r w:rsidR="009C0D3D" w:rsidRPr="009C0D3D">
        <w:rPr>
          <w:rFonts w:ascii="Times New Roman" w:hAnsi="Times New Roman" w:cs="Times New Roman"/>
          <w:kern w:val="0"/>
          <w:vertAlign w:val="superscript"/>
        </w:rPr>
        <w:t>40</w:t>
      </w:r>
      <w:r w:rsidR="00A74E3D" w:rsidRPr="00F549CC">
        <w:rPr>
          <w:rFonts w:ascii="Times New Roman" w:eastAsia="Times New Roman" w:hAnsi="Times New Roman" w:cs="Times New Roman"/>
        </w:rPr>
        <w:fldChar w:fldCharType="end"/>
      </w:r>
      <w:r w:rsidR="000D22B3">
        <w:rPr>
          <w:rFonts w:ascii="Times New Roman" w:eastAsia="Times New Roman" w:hAnsi="Times New Roman" w:cs="Times New Roman"/>
        </w:rPr>
        <w:t xml:space="preserve">. </w:t>
      </w:r>
      <w:r w:rsidR="009D7D86">
        <w:rPr>
          <w:rFonts w:ascii="Times New Roman" w:eastAsia="Times New Roman" w:hAnsi="Times New Roman" w:cs="Times New Roman"/>
        </w:rPr>
        <w:t xml:space="preserve">We </w:t>
      </w:r>
      <w:r w:rsidR="00D57284">
        <w:rPr>
          <w:rFonts w:ascii="Times New Roman" w:eastAsia="Times New Roman" w:hAnsi="Times New Roman" w:cs="Times New Roman"/>
        </w:rPr>
        <w:t>also developed a modified version of the master database</w:t>
      </w:r>
      <w:r w:rsidR="002B4892">
        <w:rPr>
          <w:rFonts w:ascii="Times New Roman" w:eastAsia="Times New Roman" w:hAnsi="Times New Roman" w:cs="Times New Roman"/>
        </w:rPr>
        <w:t>, including only Indonesian foods</w:t>
      </w:r>
      <w:r w:rsidR="006058DF">
        <w:rPr>
          <w:rFonts w:ascii="Times New Roman" w:eastAsia="Times New Roman" w:hAnsi="Times New Roman" w:cs="Times New Roman"/>
        </w:rPr>
        <w:t xml:space="preserve"> and six additional components required to apply the Nutri-Score and Health Star Rating algorithms</w:t>
      </w:r>
      <w:r w:rsidR="003020FC">
        <w:rPr>
          <w:rFonts w:ascii="Times New Roman" w:eastAsia="Times New Roman" w:hAnsi="Times New Roman" w:cs="Times New Roman"/>
        </w:rPr>
        <w:t xml:space="preserve"> (more details available in the Supplementary Material)</w:t>
      </w:r>
      <w:r w:rsidR="006058DF">
        <w:rPr>
          <w:rFonts w:ascii="Times New Roman" w:eastAsia="Times New Roman" w:hAnsi="Times New Roman" w:cs="Times New Roman"/>
        </w:rPr>
        <w:t>.</w:t>
      </w:r>
    </w:p>
    <w:p w14:paraId="0A190B0F" w14:textId="77777777" w:rsidR="00CE3674" w:rsidRDefault="00CE3674">
      <w:pPr>
        <w:spacing w:line="480" w:lineRule="auto"/>
        <w:rPr>
          <w:rFonts w:ascii="Times New Roman" w:eastAsia="Times New Roman" w:hAnsi="Times New Roman" w:cs="Times New Roman"/>
        </w:rPr>
      </w:pPr>
    </w:p>
    <w:p w14:paraId="59FCC8EA" w14:textId="60BBB6F8" w:rsidR="00C05F6D" w:rsidRDefault="00B6252C">
      <w:pPr>
        <w:spacing w:line="480" w:lineRule="auto"/>
        <w:rPr>
          <w:rFonts w:ascii="Times New Roman" w:eastAsia="Times New Roman" w:hAnsi="Times New Roman" w:cs="Times New Roman"/>
        </w:rPr>
      </w:pPr>
      <w:r>
        <w:rPr>
          <w:rFonts w:ascii="Times New Roman" w:eastAsia="Times New Roman" w:hAnsi="Times New Roman" w:cs="Times New Roman"/>
        </w:rPr>
        <w:t xml:space="preserve">Values for </w:t>
      </w:r>
      <w:r w:rsidR="00D8274D">
        <w:rPr>
          <w:rFonts w:ascii="Times New Roman" w:eastAsia="Times New Roman" w:hAnsi="Times New Roman" w:cs="Times New Roman"/>
        </w:rPr>
        <w:t xml:space="preserve">most foods </w:t>
      </w:r>
      <w:r w:rsidR="00B27332">
        <w:rPr>
          <w:rFonts w:ascii="Times New Roman" w:eastAsia="Times New Roman" w:hAnsi="Times New Roman" w:cs="Times New Roman"/>
        </w:rPr>
        <w:t xml:space="preserve">and for all nutrients were </w:t>
      </w:r>
      <w:r w:rsidR="000D22B3">
        <w:rPr>
          <w:rFonts w:ascii="Times New Roman" w:eastAsia="Times New Roman" w:hAnsi="Times New Roman" w:cs="Times New Roman"/>
        </w:rPr>
        <w:t>obtained from USDA databases</w:t>
      </w:r>
      <w:r w:rsidR="005A3FC3" w:rsidRPr="00F549CC">
        <w:rPr>
          <w:rFonts w:ascii="Times New Roman" w:eastAsia="Times New Roman" w:hAnsi="Times New Roman" w:cs="Times New Roman"/>
        </w:rPr>
        <w:fldChar w:fldCharType="begin"/>
      </w:r>
      <w:r w:rsidR="009C0D3D">
        <w:rPr>
          <w:rFonts w:ascii="Times New Roman" w:eastAsia="Times New Roman" w:hAnsi="Times New Roman" w:cs="Times New Roman"/>
        </w:rPr>
        <w:instrText xml:space="preserve"> ADDIN ZOTERO_ITEM CSL_CITATION {"citationID":"AygJ6CPs","properties":{"formattedCitation":"\\super 41\\nosupersub{}","plainCitation":"41","noteIndex":0},"citationItems":[{"id":"1wjoFLaO/3tR0qStH","uris":["http://zotero.org/users/7459384/items/KXW9J52N"],"itemData":{"id":357,"type":"webpage","title":"USDA FoodData Central","URL":"https://fdc.nal.usda.gov/","author":[{"family":"U.S. DEPARTMENT OF AGRICULTURE (USDA), Agricultural Research Service","given":""}],"accessed":{"date-parts":[["2021",6,18]]}}}],"schema":"https://github.com/citation-style-language/schema/raw/master/csl-citation.json"} </w:instrText>
      </w:r>
      <w:r w:rsidR="005A3FC3" w:rsidRPr="00F549CC">
        <w:rPr>
          <w:rFonts w:ascii="Times New Roman" w:eastAsia="Times New Roman" w:hAnsi="Times New Roman" w:cs="Times New Roman"/>
        </w:rPr>
        <w:fldChar w:fldCharType="separate"/>
      </w:r>
      <w:r w:rsidR="009C0D3D" w:rsidRPr="009C0D3D">
        <w:rPr>
          <w:rFonts w:ascii="Times New Roman" w:hAnsi="Times New Roman" w:cs="Times New Roman"/>
          <w:kern w:val="0"/>
          <w:vertAlign w:val="superscript"/>
        </w:rPr>
        <w:t>41</w:t>
      </w:r>
      <w:r w:rsidR="005A3FC3" w:rsidRPr="00F549CC">
        <w:rPr>
          <w:rFonts w:ascii="Times New Roman" w:eastAsia="Times New Roman" w:hAnsi="Times New Roman" w:cs="Times New Roman"/>
        </w:rPr>
        <w:fldChar w:fldCharType="end"/>
      </w:r>
      <w:r w:rsidR="000D22B3">
        <w:rPr>
          <w:rFonts w:ascii="Times New Roman" w:eastAsia="Times New Roman" w:hAnsi="Times New Roman" w:cs="Times New Roman"/>
        </w:rPr>
        <w:t>, complemented by the Indonesian and Bangladeshi food composition tables</w:t>
      </w:r>
      <w:r w:rsidR="00773AE8">
        <w:rPr>
          <w:rFonts w:ascii="Times New Roman" w:eastAsia="Times New Roman" w:hAnsi="Times New Roman" w:cs="Times New Roman"/>
        </w:rPr>
        <w:t xml:space="preserve"> </w:t>
      </w:r>
      <w:r w:rsidR="000D22B3">
        <w:rPr>
          <w:rFonts w:ascii="Times New Roman" w:eastAsia="Times New Roman" w:hAnsi="Times New Roman" w:cs="Times New Roman"/>
        </w:rPr>
        <w:t xml:space="preserve">for </w:t>
      </w:r>
      <w:r w:rsidR="00495CBE">
        <w:rPr>
          <w:rFonts w:ascii="Times New Roman" w:eastAsia="Times New Roman" w:hAnsi="Times New Roman" w:cs="Times New Roman"/>
        </w:rPr>
        <w:t xml:space="preserve">specific </w:t>
      </w:r>
      <w:r w:rsidR="000D22B3">
        <w:rPr>
          <w:rFonts w:ascii="Times New Roman" w:eastAsia="Times New Roman" w:hAnsi="Times New Roman" w:cs="Times New Roman"/>
        </w:rPr>
        <w:t>local foods which were not available in USDA databases</w:t>
      </w:r>
      <w:r w:rsidR="00447211" w:rsidRPr="00F549CC">
        <w:rPr>
          <w:rFonts w:ascii="Times New Roman" w:eastAsia="Times New Roman" w:hAnsi="Times New Roman" w:cs="Times New Roman"/>
        </w:rPr>
        <w:fldChar w:fldCharType="begin"/>
      </w:r>
      <w:r w:rsidR="009C0D3D">
        <w:rPr>
          <w:rFonts w:ascii="Times New Roman" w:eastAsia="Times New Roman" w:hAnsi="Times New Roman" w:cs="Times New Roman"/>
        </w:rPr>
        <w:instrText xml:space="preserve"> ADDIN ZOTERO_ITEM CSL_CITATION {"citationID":"Ko1dv4Ef","properties":{"formattedCitation":"\\super 42\\nosupersub{}","plainCitation":"42","noteIndex":0},"citationItems":[{"id":"1wjoFLaO/Qp2jbG72","uris":["http://zotero.org/users/7459384/items/X7C9SNYC"],"itemData":{"id":356,"type":"webpage","title":"INFOODS: FAO/INFOODS Databases","URL":"http://www.fao.org/infoods/infoods/tables-and-databases/faoinfoods-databases/en/","author":[{"family":"FAO","given":""}],"accessed":{"date-parts":[["2021",6,18]]}}}],"schema":"https://github.com/citation-style-language/schema/raw/master/csl-citation.json"} </w:instrText>
      </w:r>
      <w:r w:rsidR="00447211" w:rsidRPr="00F549CC">
        <w:rPr>
          <w:rFonts w:ascii="Times New Roman" w:eastAsia="Times New Roman" w:hAnsi="Times New Roman" w:cs="Times New Roman"/>
        </w:rPr>
        <w:fldChar w:fldCharType="separate"/>
      </w:r>
      <w:r w:rsidR="009C0D3D" w:rsidRPr="009C0D3D">
        <w:rPr>
          <w:rFonts w:ascii="Times New Roman" w:hAnsi="Times New Roman" w:cs="Times New Roman"/>
          <w:kern w:val="0"/>
          <w:vertAlign w:val="superscript"/>
        </w:rPr>
        <w:t>42</w:t>
      </w:r>
      <w:r w:rsidR="00447211" w:rsidRPr="00F549CC">
        <w:rPr>
          <w:rFonts w:ascii="Times New Roman" w:eastAsia="Times New Roman" w:hAnsi="Times New Roman" w:cs="Times New Roman"/>
        </w:rPr>
        <w:fldChar w:fldCharType="end"/>
      </w:r>
      <w:r w:rsidR="000D22B3">
        <w:rPr>
          <w:rFonts w:ascii="Times New Roman" w:eastAsia="Times New Roman" w:hAnsi="Times New Roman" w:cs="Times New Roman"/>
        </w:rPr>
        <w:t xml:space="preserve">. </w:t>
      </w:r>
      <w:r w:rsidR="00C758DA">
        <w:rPr>
          <w:rFonts w:ascii="Times New Roman" w:eastAsia="Times New Roman" w:hAnsi="Times New Roman" w:cs="Times New Roman"/>
        </w:rPr>
        <w:t xml:space="preserve">The </w:t>
      </w:r>
      <w:r w:rsidR="00550236">
        <w:rPr>
          <w:rFonts w:ascii="Times New Roman" w:eastAsia="Times New Roman" w:hAnsi="Times New Roman" w:cs="Times New Roman"/>
        </w:rPr>
        <w:t>choice to primarily rely on USDA data</w:t>
      </w:r>
      <w:r w:rsidR="00857949">
        <w:rPr>
          <w:rFonts w:ascii="Times New Roman" w:eastAsia="Times New Roman" w:hAnsi="Times New Roman" w:cs="Times New Roman"/>
        </w:rPr>
        <w:t xml:space="preserve"> </w:t>
      </w:r>
      <w:r w:rsidR="00C24672">
        <w:rPr>
          <w:rFonts w:ascii="Times New Roman" w:eastAsia="Times New Roman" w:hAnsi="Times New Roman" w:cs="Times New Roman"/>
        </w:rPr>
        <w:t xml:space="preserve">was due to the limited set of foods and nutrients </w:t>
      </w:r>
      <w:r w:rsidR="00045B1E">
        <w:rPr>
          <w:rFonts w:ascii="Times New Roman" w:eastAsia="Times New Roman" w:hAnsi="Times New Roman" w:cs="Times New Roman"/>
        </w:rPr>
        <w:t xml:space="preserve">included in national </w:t>
      </w:r>
      <w:r w:rsidR="00AA595C">
        <w:rPr>
          <w:rFonts w:ascii="Times New Roman" w:eastAsia="Times New Roman" w:hAnsi="Times New Roman" w:cs="Times New Roman"/>
        </w:rPr>
        <w:t>food composition tables</w:t>
      </w:r>
      <w:r w:rsidR="00520B5E">
        <w:rPr>
          <w:rFonts w:ascii="Times New Roman" w:eastAsia="Times New Roman" w:hAnsi="Times New Roman" w:cs="Times New Roman"/>
        </w:rPr>
        <w:t xml:space="preserve">, which was insufficient to </w:t>
      </w:r>
      <w:r w:rsidR="005E0646">
        <w:rPr>
          <w:rFonts w:ascii="Times New Roman" w:eastAsia="Times New Roman" w:hAnsi="Times New Roman" w:cs="Times New Roman"/>
        </w:rPr>
        <w:t>implement the NVS algorithm</w:t>
      </w:r>
      <w:r w:rsidR="00D31004">
        <w:rPr>
          <w:rFonts w:ascii="Times New Roman" w:eastAsia="Times New Roman" w:hAnsi="Times New Roman" w:cs="Times New Roman"/>
        </w:rPr>
        <w:t>.</w:t>
      </w:r>
      <w:r w:rsidR="00520B5E">
        <w:rPr>
          <w:rFonts w:ascii="Times New Roman" w:eastAsia="Times New Roman" w:hAnsi="Times New Roman" w:cs="Times New Roman"/>
        </w:rPr>
        <w:t xml:space="preserve"> </w:t>
      </w:r>
      <w:r w:rsidR="00D31004">
        <w:rPr>
          <w:rFonts w:ascii="Times New Roman" w:eastAsia="Times New Roman" w:hAnsi="Times New Roman" w:cs="Times New Roman"/>
        </w:rPr>
        <w:t xml:space="preserve">In fact, </w:t>
      </w:r>
      <w:r w:rsidR="00C827F9">
        <w:rPr>
          <w:rFonts w:ascii="Times New Roman" w:eastAsia="Times New Roman" w:hAnsi="Times New Roman" w:cs="Times New Roman"/>
        </w:rPr>
        <w:t xml:space="preserve">even for the specific local foods </w:t>
      </w:r>
      <w:r w:rsidR="00773AE8">
        <w:rPr>
          <w:rFonts w:ascii="Times New Roman" w:eastAsia="Times New Roman" w:hAnsi="Times New Roman" w:cs="Times New Roman"/>
        </w:rPr>
        <w:t xml:space="preserve">which we extracted from the Indonesian and Bangladeshi </w:t>
      </w:r>
      <w:r w:rsidR="00AA595C">
        <w:rPr>
          <w:rFonts w:ascii="Times New Roman" w:eastAsia="Times New Roman" w:hAnsi="Times New Roman" w:cs="Times New Roman"/>
        </w:rPr>
        <w:t>food composition tables</w:t>
      </w:r>
      <w:r w:rsidR="008A6964">
        <w:rPr>
          <w:rFonts w:ascii="Times New Roman" w:eastAsia="Times New Roman" w:hAnsi="Times New Roman" w:cs="Times New Roman"/>
        </w:rPr>
        <w:t xml:space="preserve">, </w:t>
      </w:r>
      <w:r w:rsidR="00E41FE5">
        <w:rPr>
          <w:rFonts w:ascii="Times New Roman" w:eastAsia="Times New Roman" w:hAnsi="Times New Roman" w:cs="Times New Roman"/>
        </w:rPr>
        <w:t xml:space="preserve">we had to use food </w:t>
      </w:r>
      <w:r w:rsidR="004D1CBB">
        <w:rPr>
          <w:rFonts w:ascii="Times New Roman" w:eastAsia="Times New Roman" w:hAnsi="Times New Roman" w:cs="Times New Roman"/>
        </w:rPr>
        <w:t>sub-</w:t>
      </w:r>
      <w:r w:rsidR="00E41FE5">
        <w:rPr>
          <w:rFonts w:ascii="Times New Roman" w:eastAsia="Times New Roman" w:hAnsi="Times New Roman" w:cs="Times New Roman"/>
        </w:rPr>
        <w:t>group average values</w:t>
      </w:r>
      <w:r w:rsidR="004D1CBB">
        <w:rPr>
          <w:rFonts w:ascii="Times New Roman" w:eastAsia="Times New Roman" w:hAnsi="Times New Roman" w:cs="Times New Roman"/>
        </w:rPr>
        <w:t xml:space="preserve"> </w:t>
      </w:r>
      <w:r w:rsidR="0015596F">
        <w:rPr>
          <w:rFonts w:ascii="Times New Roman" w:eastAsia="Times New Roman" w:hAnsi="Times New Roman" w:cs="Times New Roman"/>
        </w:rPr>
        <w:t xml:space="preserve">from USDA databases </w:t>
      </w:r>
      <w:r w:rsidR="004D1CBB">
        <w:rPr>
          <w:rFonts w:ascii="Times New Roman" w:eastAsia="Times New Roman" w:hAnsi="Times New Roman" w:cs="Times New Roman"/>
        </w:rPr>
        <w:t xml:space="preserve">to fill in the gaps for any nutrients not included in the </w:t>
      </w:r>
      <w:r w:rsidR="007E1714">
        <w:rPr>
          <w:rFonts w:ascii="Times New Roman" w:eastAsia="Times New Roman" w:hAnsi="Times New Roman" w:cs="Times New Roman"/>
        </w:rPr>
        <w:t xml:space="preserve">national </w:t>
      </w:r>
      <w:r w:rsidR="002250D8">
        <w:rPr>
          <w:rFonts w:ascii="Times New Roman" w:eastAsia="Times New Roman" w:hAnsi="Times New Roman" w:cs="Times New Roman"/>
        </w:rPr>
        <w:t>food composition tables</w:t>
      </w:r>
      <w:r w:rsidR="007E1714">
        <w:rPr>
          <w:rFonts w:ascii="Times New Roman" w:eastAsia="Times New Roman" w:hAnsi="Times New Roman" w:cs="Times New Roman"/>
        </w:rPr>
        <w:t>.</w:t>
      </w:r>
      <w:r w:rsidR="00045B1E">
        <w:rPr>
          <w:rFonts w:ascii="Times New Roman" w:eastAsia="Times New Roman" w:hAnsi="Times New Roman" w:cs="Times New Roman"/>
        </w:rPr>
        <w:t xml:space="preserve"> </w:t>
      </w:r>
      <w:r w:rsidR="000D22B3">
        <w:rPr>
          <w:rFonts w:ascii="Times New Roman" w:eastAsia="Times New Roman" w:hAnsi="Times New Roman" w:cs="Times New Roman"/>
        </w:rPr>
        <w:t>Values for DIAAS were obtained from the literature, by prioritizing studies conducted in humans, followed by those conducted in pigs and, as a third option, rats, and by preferring average over single values when available.</w:t>
      </w:r>
    </w:p>
    <w:p w14:paraId="51B499AA" w14:textId="77777777" w:rsidR="00C05F6D" w:rsidRDefault="00C05F6D">
      <w:pPr>
        <w:spacing w:line="480" w:lineRule="auto"/>
        <w:rPr>
          <w:rFonts w:ascii="Times New Roman" w:eastAsia="Times New Roman" w:hAnsi="Times New Roman" w:cs="Times New Roman"/>
        </w:rPr>
      </w:pPr>
    </w:p>
    <w:p w14:paraId="1877F4BD" w14:textId="76916961" w:rsidR="00C05F6D" w:rsidRDefault="00705A56">
      <w:pPr>
        <w:spacing w:line="480" w:lineRule="auto"/>
        <w:rPr>
          <w:rFonts w:ascii="Times New Roman" w:eastAsia="Times New Roman" w:hAnsi="Times New Roman" w:cs="Times New Roman"/>
        </w:rPr>
      </w:pPr>
      <w:r w:rsidRPr="00705A56">
        <w:rPr>
          <w:rFonts w:ascii="Times New Roman" w:eastAsia="Times New Roman" w:hAnsi="Times New Roman" w:cs="Times New Roman"/>
        </w:rPr>
        <w:t>Our analysis was limited to unprocessed, minimally processed, and processed foods recommended in dietary guidelines globally</w:t>
      </w:r>
      <w:r w:rsidR="00C248FF" w:rsidRPr="00F549CC">
        <w:rPr>
          <w:rFonts w:ascii="Times New Roman" w:eastAsia="Times New Roman" w:hAnsi="Times New Roman" w:cs="Times New Roman"/>
        </w:rPr>
        <w:fldChar w:fldCharType="begin"/>
      </w:r>
      <w:r w:rsidR="00557152">
        <w:rPr>
          <w:rFonts w:ascii="Times New Roman" w:eastAsia="Times New Roman" w:hAnsi="Times New Roman" w:cs="Times New Roman"/>
        </w:rPr>
        <w:instrText xml:space="preserve"> ADDIN ZOTERO_ITEM CSL_CITATION {"citationID":"TaRNzCjA","properties":{"formattedCitation":"\\super 9\\nosupersub{}","plainCitation":"9","noteIndex":0},"citationItems":[{"id":3803,"uris":["http://zotero.org/users/2850877/items/WGP4BH3C"],"itemData":{"id":3803,"type":"article-journal","abstract":"The objective of this review is to provide a concise, descriptive global review of current food-based dietary guidelines (FBDG), and to assess similarities and differences in key elements of a healthy diet articulated across countries. Information was sourced from the FBDG repository of the FAO, which catalogs FBDG for all countries where they are available, including a description of the food guide (the graphic representation of the dietary guidelines), a set of key messages, and downloadable documents provided by the countries. FBDG are currently available for 90 countries globally: 7 in Africa, 17 in Asia and the Pacific, 33 in Europe, 27 in Latin America and the Caribbean, 4 in the Near East, and 2 in North America. The year of publication of current versions ranges from 1986 to 2017 (mean 2009). This review provides summaries of the key messages and food guides that are used to communicate national dietary guidance, organized by food group, and evaluates the extent to which each set of FBDG includes existing recommendations articulated by the WHO. Some guidance appears nearly universally across countries: to consume a variety of foods; to consume some foods in higher proportion than others; to consume fruits and vegetables, legumes, and animal-source foods; and to limit sugar, fat, and salt. Guidelines on dairy, red meat, fats and oils, and nuts are more variable. Although WHO global guidance encourages consumption of nuts, whole grains, and healthy fats, these messages are not universally echoed across countries. Future frontiers in FBDG development include the incorporation of environmental sustainability and increased attention to sociocultural factors including rapidly changing dietary trends. Steps toward regional and global dietary recommendations could be helpful for refinement of country-level FBDG, and for clear communication and measurement of diet quality both nationally and globally.","container-title":"Advances in Nutrition","DOI":"10.1093/advances/nmy130","ISSN":"2161-8313","issue":"4","journalAbbreviation":"Advances in Nutrition","page":"590-605","source":"Silverchair","title":"A Global Review of Food-Based Dietary Guidelines","volume":"10","author":[{"family":"Herforth","given":"Anna"},{"family":"Arimond","given":"Mary"},{"family":"Álvarez-Sánchez","given":"Cristina"},{"family":"Coates","given":"Jennifer"},{"family":"Christianson","given":"Karin"},{"family":"Muehlhoff","given":"Ellen"}],"issued":{"date-parts":[["2019",7,1]]}}}],"schema":"https://github.com/citation-style-language/schema/raw/master/csl-citation.json"} </w:instrText>
      </w:r>
      <w:r w:rsidR="00C248FF" w:rsidRPr="00F549CC">
        <w:rPr>
          <w:rFonts w:ascii="Times New Roman" w:eastAsia="Times New Roman" w:hAnsi="Times New Roman" w:cs="Times New Roman"/>
        </w:rPr>
        <w:fldChar w:fldCharType="separate"/>
      </w:r>
      <w:r w:rsidR="00557152" w:rsidRPr="00557152">
        <w:rPr>
          <w:rFonts w:ascii="Times New Roman" w:hAnsi="Times New Roman" w:cs="Times New Roman"/>
          <w:kern w:val="0"/>
          <w:vertAlign w:val="superscript"/>
        </w:rPr>
        <w:t>9</w:t>
      </w:r>
      <w:r w:rsidR="00C248FF" w:rsidRPr="00F549CC">
        <w:rPr>
          <w:rFonts w:ascii="Times New Roman" w:eastAsia="Times New Roman" w:hAnsi="Times New Roman" w:cs="Times New Roman"/>
        </w:rPr>
        <w:fldChar w:fldCharType="end"/>
      </w:r>
      <w:r>
        <w:rPr>
          <w:rFonts w:ascii="Times New Roman" w:eastAsia="Times New Roman" w:hAnsi="Times New Roman" w:cs="Times New Roman"/>
        </w:rPr>
        <w:t>. These are the sentinel foods listed in the country-adapted Diet Quality Questionnaires for Indonesia and Bangladesh (</w:t>
      </w:r>
      <w:hyperlink r:id="rId15">
        <w:r>
          <w:rPr>
            <w:rFonts w:ascii="Times New Roman" w:eastAsia="Times New Roman" w:hAnsi="Times New Roman" w:cs="Times New Roman"/>
            <w:color w:val="000000"/>
          </w:rPr>
          <w:t>dietquality.org</w:t>
        </w:r>
      </w:hyperlink>
      <w:r>
        <w:rPr>
          <w:rFonts w:ascii="Times New Roman" w:eastAsia="Times New Roman" w:hAnsi="Times New Roman" w:cs="Times New Roman"/>
        </w:rPr>
        <w:t xml:space="preserve">), which ensure our analysis focused on locally available, commonly consumed foods. We compiled data on the composition of foods as they are usually </w:t>
      </w:r>
      <w:r w:rsidR="006F6137">
        <w:rPr>
          <w:rFonts w:ascii="Times New Roman" w:eastAsia="Times New Roman" w:hAnsi="Times New Roman" w:cs="Times New Roman"/>
        </w:rPr>
        <w:t>consumed</w:t>
      </w:r>
      <w:r>
        <w:rPr>
          <w:rFonts w:ascii="Times New Roman" w:eastAsia="Times New Roman" w:hAnsi="Times New Roman" w:cs="Times New Roman"/>
        </w:rPr>
        <w:t xml:space="preserve">, whether raw, cooked, or both. Where applicable and where data were available, nutrient values for multiple cooking methods for the same food were averaged. In addition, for meat, nutrient densities for various cuts and portions of the same animal were averaged. With regards to aggregate </w:t>
      </w:r>
      <w:r>
        <w:rPr>
          <w:rFonts w:ascii="Times New Roman" w:eastAsia="Times New Roman" w:hAnsi="Times New Roman" w:cs="Times New Roman"/>
        </w:rPr>
        <w:lastRenderedPageBreak/>
        <w:t xml:space="preserve">sentinel foods (for example, fish, cheese, rice), food composition data from different species or varieties were collected and averaged (for example, fish species popular in Indonesia or Bangladesh, </w:t>
      </w:r>
      <w:r w:rsidR="004F5383">
        <w:rPr>
          <w:rFonts w:ascii="Times New Roman" w:eastAsia="Times New Roman" w:hAnsi="Times New Roman" w:cs="Times New Roman"/>
        </w:rPr>
        <w:t xml:space="preserve">various </w:t>
      </w:r>
      <w:r>
        <w:rPr>
          <w:rFonts w:ascii="Times New Roman" w:eastAsia="Times New Roman" w:hAnsi="Times New Roman" w:cs="Times New Roman"/>
        </w:rPr>
        <w:t>types of hard and soft cheese, different varieties of rice).</w:t>
      </w:r>
      <w:r w:rsidR="00D67D09">
        <w:rPr>
          <w:rFonts w:ascii="Times New Roman" w:eastAsia="Times New Roman" w:hAnsi="Times New Roman" w:cs="Times New Roman"/>
        </w:rPr>
        <w:t xml:space="preserve"> Furthermore, </w:t>
      </w:r>
      <w:r w:rsidR="00630BA9">
        <w:rPr>
          <w:rFonts w:ascii="Times New Roman" w:eastAsia="Times New Roman" w:hAnsi="Times New Roman" w:cs="Times New Roman"/>
        </w:rPr>
        <w:t xml:space="preserve">although not reflected in the country-adapted Diet Quality Questionnaires for Indonesia and </w:t>
      </w:r>
      <w:r w:rsidR="00FE50C5">
        <w:rPr>
          <w:rFonts w:ascii="Times New Roman" w:eastAsia="Times New Roman" w:hAnsi="Times New Roman" w:cs="Times New Roman"/>
        </w:rPr>
        <w:t>Bangladesh</w:t>
      </w:r>
      <w:r w:rsidR="009C13C4">
        <w:rPr>
          <w:rFonts w:ascii="Times New Roman" w:eastAsia="Times New Roman" w:hAnsi="Times New Roman" w:cs="Times New Roman"/>
        </w:rPr>
        <w:t xml:space="preserve">, we separated fatty from lean fish, full-fat from low-fat cheese, </w:t>
      </w:r>
      <w:r w:rsidR="00B15692">
        <w:rPr>
          <w:rFonts w:ascii="Times New Roman" w:eastAsia="Times New Roman" w:hAnsi="Times New Roman" w:cs="Times New Roman"/>
        </w:rPr>
        <w:t xml:space="preserve">and whole </w:t>
      </w:r>
      <w:r w:rsidR="00FE50C5">
        <w:rPr>
          <w:rFonts w:ascii="Times New Roman" w:eastAsia="Times New Roman" w:hAnsi="Times New Roman" w:cs="Times New Roman"/>
        </w:rPr>
        <w:t xml:space="preserve">grains </w:t>
      </w:r>
      <w:r w:rsidR="00B15692">
        <w:rPr>
          <w:rFonts w:ascii="Times New Roman" w:eastAsia="Times New Roman" w:hAnsi="Times New Roman" w:cs="Times New Roman"/>
        </w:rPr>
        <w:t>from refined grains</w:t>
      </w:r>
      <w:r w:rsidR="00CC60B9">
        <w:rPr>
          <w:rFonts w:ascii="Times New Roman" w:eastAsia="Times New Roman" w:hAnsi="Times New Roman" w:cs="Times New Roman"/>
        </w:rPr>
        <w:t xml:space="preserve">, because of the significant differences in food composition and nutritional value </w:t>
      </w:r>
      <w:r w:rsidR="00B3620B">
        <w:rPr>
          <w:rFonts w:ascii="Times New Roman" w:eastAsia="Times New Roman" w:hAnsi="Times New Roman" w:cs="Times New Roman"/>
        </w:rPr>
        <w:t>between these food sub-groups</w:t>
      </w:r>
      <w:r w:rsidR="00B15692">
        <w:rPr>
          <w:rFonts w:ascii="Times New Roman" w:eastAsia="Times New Roman" w:hAnsi="Times New Roman" w:cs="Times New Roman"/>
        </w:rPr>
        <w:t>.</w:t>
      </w:r>
    </w:p>
    <w:p w14:paraId="4CF4B24D" w14:textId="77777777" w:rsidR="00C05F6D" w:rsidRDefault="00C05F6D">
      <w:pPr>
        <w:spacing w:line="480" w:lineRule="auto"/>
        <w:rPr>
          <w:rFonts w:ascii="Times New Roman" w:eastAsia="Times New Roman" w:hAnsi="Times New Roman" w:cs="Times New Roman"/>
        </w:rPr>
      </w:pPr>
    </w:p>
    <w:p w14:paraId="6269244A" w14:textId="4384A8AC"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t xml:space="preserve">Missing values for individual foods were replaced by the corresponding average values for all foods within a given Diet Quality Questionnaire question. For instance, if the vitamin E density of water spinach (question 6.1 in the Diet Quality Questionnaire for Indonesia) was missing, the average value for all vegetables under question 6.1 would be used, assuming that foods belonging to the same Diet Quality Questionnaire question have comparable </w:t>
      </w:r>
      <w:r w:rsidR="001C6067">
        <w:rPr>
          <w:rFonts w:ascii="Times New Roman" w:eastAsia="Times New Roman" w:hAnsi="Times New Roman" w:cs="Times New Roman"/>
        </w:rPr>
        <w:t>nutrient density</w:t>
      </w:r>
      <w:r>
        <w:rPr>
          <w:rFonts w:ascii="Times New Roman" w:eastAsia="Times New Roman" w:hAnsi="Times New Roman" w:cs="Times New Roman"/>
        </w:rPr>
        <w:t>. This approach allowed us to fill all data gaps except for ALA, whose value was only available for a limited set of foods in USDA databases, and for which we sometimes had to rely on available literature.</w:t>
      </w:r>
    </w:p>
    <w:p w14:paraId="76A20F6F" w14:textId="77777777" w:rsidR="00C05F6D" w:rsidRDefault="00C05F6D">
      <w:pPr>
        <w:spacing w:line="480" w:lineRule="auto"/>
        <w:rPr>
          <w:rFonts w:ascii="Times New Roman" w:eastAsia="Times New Roman" w:hAnsi="Times New Roman" w:cs="Times New Roman"/>
        </w:rPr>
      </w:pPr>
    </w:p>
    <w:p w14:paraId="42370C63" w14:textId="5347A0AE"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t>For more details on the food composition data, please refer to the Supplementary Material</w:t>
      </w:r>
      <w:r w:rsidR="00F70235">
        <w:rPr>
          <w:rFonts w:ascii="Times New Roman" w:eastAsia="Times New Roman" w:hAnsi="Times New Roman" w:cs="Times New Roman"/>
        </w:rPr>
        <w:t xml:space="preserve"> and the </w:t>
      </w:r>
      <w:r>
        <w:rPr>
          <w:rFonts w:ascii="Times New Roman" w:eastAsia="Times New Roman" w:hAnsi="Times New Roman" w:cs="Times New Roman"/>
        </w:rPr>
        <w:t xml:space="preserve">Extended </w:t>
      </w:r>
      <w:r w:rsidR="004817CC">
        <w:rPr>
          <w:rFonts w:ascii="Times New Roman" w:eastAsia="Times New Roman" w:hAnsi="Times New Roman" w:cs="Times New Roman"/>
        </w:rPr>
        <w:t>D</w:t>
      </w:r>
      <w:r>
        <w:rPr>
          <w:rFonts w:ascii="Times New Roman" w:eastAsia="Times New Roman" w:hAnsi="Times New Roman" w:cs="Times New Roman"/>
        </w:rPr>
        <w:t>ata file.</w:t>
      </w:r>
    </w:p>
    <w:p w14:paraId="54E2FD91" w14:textId="77777777" w:rsidR="00C05F6D" w:rsidRDefault="00C05F6D">
      <w:pPr>
        <w:spacing w:line="480" w:lineRule="auto"/>
        <w:rPr>
          <w:rFonts w:ascii="Times New Roman" w:eastAsia="Times New Roman" w:hAnsi="Times New Roman" w:cs="Times New Roman"/>
        </w:rPr>
      </w:pPr>
    </w:p>
    <w:p w14:paraId="23268815" w14:textId="77777777" w:rsidR="00C05F6D" w:rsidRDefault="000D22B3">
      <w:pPr>
        <w:spacing w:line="480" w:lineRule="auto"/>
        <w:rPr>
          <w:rFonts w:ascii="Times New Roman" w:eastAsia="Times New Roman" w:hAnsi="Times New Roman" w:cs="Times New Roman"/>
          <w:b/>
        </w:rPr>
      </w:pPr>
      <w:r>
        <w:rPr>
          <w:rFonts w:ascii="Times New Roman" w:eastAsia="Times New Roman" w:hAnsi="Times New Roman" w:cs="Times New Roman"/>
          <w:b/>
        </w:rPr>
        <w:t>Dietary reference intakes</w:t>
      </w:r>
    </w:p>
    <w:p w14:paraId="183F5065" w14:textId="36124775"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t>For vitamins and minerals, we used harmonized nutrient reference values, which recommend a mix of values from the European Food Safety Authority and the Institute of Medicine, depending on the micronutrient (Supplementary Tables 1–2)</w:t>
      </w:r>
      <w:r w:rsidR="007B1ED7" w:rsidRPr="00F549CC">
        <w:rPr>
          <w:rFonts w:ascii="Times New Roman" w:hAnsi="Times New Roman" w:cs="Times New Roman"/>
        </w:rPr>
        <w:fldChar w:fldCharType="begin"/>
      </w:r>
      <w:r w:rsidR="009C0D3D">
        <w:rPr>
          <w:rFonts w:ascii="Times New Roman" w:hAnsi="Times New Roman" w:cs="Times New Roman"/>
        </w:rPr>
        <w:instrText xml:space="preserve"> ADDIN ZOTERO_ITEM CSL_CITATION {"citationID":"wzzGaheP","properties":{"formattedCitation":"\\super 43\\nosupersub{}","plainCitation":"43","noteIndex":0},"citationItems":[{"id":"1wjoFLaO/IabYmMnW","uris":["http://zotero.org/users/7459384/items/YF9HFLH7"],"itemData":{"id":175,"type":"article-journal","abstract":"Two core nutrient intake reference values (NRVs) are required for assessing the adequacy and safety of nutrient intakes for population groups: the average requirement (AR) and the tolerable upper level of intake (UL). Applications of such assessments include providing advice to improve intakes, formulating complementary foods, estimating the amounts of nutrients to be added to fortified foods and monitoring changes in intake, and product labeling at the global, national, or regional level. However, there is a lack of unity across country-level organizations in the methodological approach used to derive NRVs, and ARs and ULs are lacking in many compilations, thus limiting the ability to assess nutrient intakes for their population groups. Because physiological requirements vary little across populations globally, and setting reference values requires determining an acceptable level of uncertainty, it is feasible to adapt current recommendations from different sources to harmonize these core reference values. The objective of this review is to demonstrate an approach for harmonizing the NRVs for ARs (here termed \"H-ARs\") and ULs (\"H-ULs\") that can be applied on a global scale to assessing intakes across populations. The approach incorporates the framework and terminology recommended by reports from the United Nations University, the National Academies of Sciences, Engineering, and Medicine (NASEM), the Institute of Medicine (IOM), and the European Food Safety Authority (EFSA). After reviewing available alternatives, the proposed harmonized values were selected from standards set by EFSA (for Europe) and the IOM (for the United States and Canada), giving priority to those published most recently. Justifications for the proposed values are presented, along with discussion of their limitations. Ideally, these methods should be further reviewed by an international group of experts. Meanwhile, the H-ARs and H-ULs suggested in this review can be used to assess intakes of populations for many applications in global and regional contexts.","container-title":"Advances in Nutrition (Bethesda, Md.)","DOI":"10.1093/advances/nmz096","ISSN":"2156-5376","issue":"3","journalAbbreviation":"Adv Nutr","language":"eng","note":"PMID: 31701998\nPMCID: PMC7231601","page":"469-483","source":"PubMed","title":"Perspective: Proposed Harmonized Nutrient Reference Values for Populations","title-short":"Perspective","volume":"11","author":[{"family":"Allen","given":"Lindsay H."},{"family":"Carriquiry","given":"Alicia L."},{"family":"Murphy","given":"Suzanne P."}],"issued":{"date-parts":[["2020",5,1]]}}}],"schema":"https://github.com/citation-style-language/schema/raw/master/csl-citation.json"} </w:instrText>
      </w:r>
      <w:r w:rsidR="007B1ED7" w:rsidRPr="00F549CC">
        <w:rPr>
          <w:rFonts w:ascii="Times New Roman" w:hAnsi="Times New Roman" w:cs="Times New Roman"/>
        </w:rPr>
        <w:fldChar w:fldCharType="separate"/>
      </w:r>
      <w:r w:rsidR="009C0D3D" w:rsidRPr="009C0D3D">
        <w:rPr>
          <w:rFonts w:ascii="Times New Roman" w:hAnsi="Times New Roman" w:cs="Times New Roman"/>
          <w:kern w:val="0"/>
          <w:vertAlign w:val="superscript"/>
        </w:rPr>
        <w:t>43</w:t>
      </w:r>
      <w:r w:rsidR="007B1ED7" w:rsidRPr="00F549CC">
        <w:rPr>
          <w:rFonts w:ascii="Times New Roman" w:hAnsi="Times New Roman" w:cs="Times New Roman"/>
        </w:rPr>
        <w:fldChar w:fldCharType="end"/>
      </w:r>
      <w:r>
        <w:rPr>
          <w:rFonts w:ascii="Times New Roman" w:eastAsia="Times New Roman" w:hAnsi="Times New Roman" w:cs="Times New Roman"/>
        </w:rPr>
        <w:t xml:space="preserve">. For </w:t>
      </w:r>
      <w:r>
        <w:rPr>
          <w:rFonts w:ascii="Times New Roman" w:eastAsia="Times New Roman" w:hAnsi="Times New Roman" w:cs="Times New Roman"/>
          <w:i/>
        </w:rPr>
        <w:t>n-</w:t>
      </w:r>
      <w:r>
        <w:rPr>
          <w:rFonts w:ascii="Times New Roman" w:eastAsia="Times New Roman" w:hAnsi="Times New Roman" w:cs="Times New Roman"/>
        </w:rPr>
        <w:t>3’s we used European Food Safety Authority RNIs.</w:t>
      </w:r>
    </w:p>
    <w:p w14:paraId="4FFBE019" w14:textId="77777777" w:rsidR="00C05F6D" w:rsidRDefault="00C05F6D">
      <w:pPr>
        <w:spacing w:line="480" w:lineRule="auto"/>
        <w:rPr>
          <w:rFonts w:ascii="Times New Roman" w:eastAsia="Times New Roman" w:hAnsi="Times New Roman" w:cs="Times New Roman"/>
        </w:rPr>
      </w:pPr>
    </w:p>
    <w:p w14:paraId="0CD0FBC6" w14:textId="77777777" w:rsidR="00C05F6D" w:rsidRDefault="000D22B3">
      <w:pPr>
        <w:spacing w:line="480" w:lineRule="auto"/>
        <w:rPr>
          <w:rFonts w:ascii="Times New Roman" w:eastAsia="Times New Roman" w:hAnsi="Times New Roman" w:cs="Times New Roman"/>
          <w:b/>
        </w:rPr>
      </w:pPr>
      <w:r>
        <w:rPr>
          <w:rFonts w:ascii="Times New Roman" w:eastAsia="Times New Roman" w:hAnsi="Times New Roman" w:cs="Times New Roman"/>
          <w:b/>
        </w:rPr>
        <w:t>Sensitivity analyses</w:t>
      </w:r>
    </w:p>
    <w:p w14:paraId="6CFBA599" w14:textId="27417F48" w:rsidR="00196E93"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t xml:space="preserve">We conducted </w:t>
      </w:r>
      <w:r w:rsidR="00216A28">
        <w:rPr>
          <w:rFonts w:ascii="Times New Roman" w:eastAsia="Times New Roman" w:hAnsi="Times New Roman" w:cs="Times New Roman"/>
        </w:rPr>
        <w:t>five</w:t>
      </w:r>
      <w:r>
        <w:rPr>
          <w:rFonts w:ascii="Times New Roman" w:eastAsia="Times New Roman" w:hAnsi="Times New Roman" w:cs="Times New Roman"/>
        </w:rPr>
        <w:t xml:space="preserve"> sensitivity analyses. First, we capped vitamin and mineral contents at 50% and 200% of the RNI. Second, we shifted the weights of dietary attributes towards protection against noncommunicable disease: </w:t>
      </w:r>
      <w:r>
        <w:rPr>
          <w:rFonts w:ascii="Times New Roman" w:eastAsia="Times New Roman" w:hAnsi="Times New Roman" w:cs="Times New Roman"/>
          <w:i/>
        </w:rPr>
        <w:t>V</w:t>
      </w:r>
      <w:r>
        <w:rPr>
          <w:rFonts w:ascii="Times New Roman" w:eastAsia="Times New Roman" w:hAnsi="Times New Roman" w:cs="Times New Roman"/>
        </w:rPr>
        <w:t xml:space="preserve"> (10%), </w:t>
      </w:r>
      <w:r>
        <w:rPr>
          <w:rFonts w:ascii="Times New Roman" w:eastAsia="Times New Roman" w:hAnsi="Times New Roman" w:cs="Times New Roman"/>
          <w:i/>
        </w:rPr>
        <w:t>M</w:t>
      </w:r>
      <w:r>
        <w:rPr>
          <w:rFonts w:ascii="Times New Roman" w:eastAsia="Times New Roman" w:hAnsi="Times New Roman" w:cs="Times New Roman"/>
        </w:rPr>
        <w:t xml:space="preserve"> (10%), </w:t>
      </w:r>
      <w:r>
        <w:rPr>
          <w:rFonts w:ascii="Times New Roman" w:eastAsia="Times New Roman" w:hAnsi="Times New Roman" w:cs="Times New Roman"/>
          <w:i/>
        </w:rPr>
        <w:t>EAA</w:t>
      </w:r>
      <w:r>
        <w:rPr>
          <w:rFonts w:ascii="Times New Roman" w:eastAsia="Times New Roman" w:hAnsi="Times New Roman" w:cs="Times New Roman"/>
        </w:rPr>
        <w:t xml:space="preserve"> (10%), </w:t>
      </w:r>
      <w:r>
        <w:rPr>
          <w:rFonts w:ascii="Times New Roman" w:eastAsia="Times New Roman" w:hAnsi="Times New Roman" w:cs="Times New Roman"/>
          <w:i/>
        </w:rPr>
        <w:t>n3</w:t>
      </w:r>
      <w:r>
        <w:rPr>
          <w:rFonts w:ascii="Times New Roman" w:eastAsia="Times New Roman" w:hAnsi="Times New Roman" w:cs="Times New Roman"/>
        </w:rPr>
        <w:t xml:space="preserve"> (</w:t>
      </w:r>
      <w:r w:rsidR="00886F9B">
        <w:rPr>
          <w:rFonts w:ascii="Times New Roman" w:eastAsia="Times New Roman" w:hAnsi="Times New Roman" w:cs="Times New Roman"/>
        </w:rPr>
        <w:t>1</w:t>
      </w:r>
      <w:r>
        <w:rPr>
          <w:rFonts w:ascii="Times New Roman" w:eastAsia="Times New Roman" w:hAnsi="Times New Roman" w:cs="Times New Roman"/>
        </w:rPr>
        <w:t>2</w:t>
      </w:r>
      <w:r w:rsidR="00886F9B">
        <w:rPr>
          <w:rFonts w:ascii="Times New Roman" w:eastAsia="Times New Roman" w:hAnsi="Times New Roman" w:cs="Times New Roman"/>
        </w:rPr>
        <w:t>.5</w:t>
      </w:r>
      <w:r>
        <w:rPr>
          <w:rFonts w:ascii="Times New Roman" w:eastAsia="Times New Roman" w:hAnsi="Times New Roman" w:cs="Times New Roman"/>
        </w:rPr>
        <w:t xml:space="preserve">%), </w:t>
      </w:r>
      <w:r>
        <w:rPr>
          <w:rFonts w:ascii="Times New Roman" w:eastAsia="Times New Roman" w:hAnsi="Times New Roman" w:cs="Times New Roman"/>
          <w:i/>
        </w:rPr>
        <w:t>F</w:t>
      </w:r>
      <w:r>
        <w:rPr>
          <w:rFonts w:ascii="Times New Roman" w:eastAsia="Times New Roman" w:hAnsi="Times New Roman" w:cs="Times New Roman"/>
        </w:rPr>
        <w:t xml:space="preserve"> (</w:t>
      </w:r>
      <w:r w:rsidR="00886F9B">
        <w:rPr>
          <w:rFonts w:ascii="Times New Roman" w:eastAsia="Times New Roman" w:hAnsi="Times New Roman" w:cs="Times New Roman"/>
        </w:rPr>
        <w:t>15</w:t>
      </w:r>
      <w:r>
        <w:rPr>
          <w:rFonts w:ascii="Times New Roman" w:eastAsia="Times New Roman" w:hAnsi="Times New Roman" w:cs="Times New Roman"/>
        </w:rPr>
        <w:t xml:space="preserve">%), </w:t>
      </w:r>
      <w:r w:rsidR="00437928" w:rsidRPr="0069624F">
        <w:rPr>
          <w:rFonts w:ascii="Times New Roman" w:eastAsia="Times New Roman" w:hAnsi="Times New Roman" w:cs="Times New Roman"/>
          <w:i/>
          <w:iCs/>
        </w:rPr>
        <w:t>C</w:t>
      </w:r>
      <w:r w:rsidR="00437928">
        <w:rPr>
          <w:rFonts w:ascii="Times New Roman" w:eastAsia="Times New Roman" w:hAnsi="Times New Roman" w:cs="Times New Roman"/>
        </w:rPr>
        <w:t xml:space="preserve"> </w:t>
      </w:r>
      <w:r w:rsidR="006A6D50">
        <w:rPr>
          <w:rFonts w:ascii="Times New Roman" w:eastAsia="Times New Roman" w:hAnsi="Times New Roman" w:cs="Times New Roman"/>
        </w:rPr>
        <w:t xml:space="preserve">(15%), and </w:t>
      </w:r>
      <w:r>
        <w:rPr>
          <w:rFonts w:ascii="Times New Roman" w:eastAsia="Times New Roman" w:hAnsi="Times New Roman" w:cs="Times New Roman"/>
          <w:i/>
        </w:rPr>
        <w:t>NR</w:t>
      </w:r>
      <w:r>
        <w:rPr>
          <w:rFonts w:ascii="Times New Roman" w:eastAsia="Times New Roman" w:hAnsi="Times New Roman" w:cs="Times New Roman"/>
        </w:rPr>
        <w:t xml:space="preserve"> (</w:t>
      </w:r>
      <w:r w:rsidR="006A6D50">
        <w:rPr>
          <w:rFonts w:ascii="Times New Roman" w:eastAsia="Times New Roman" w:hAnsi="Times New Roman" w:cs="Times New Roman"/>
        </w:rPr>
        <w:t>27.5</w:t>
      </w:r>
      <w:r>
        <w:rPr>
          <w:rFonts w:ascii="Times New Roman" w:eastAsia="Times New Roman" w:hAnsi="Times New Roman" w:cs="Times New Roman"/>
        </w:rPr>
        <w:t>%); and nutrient density:</w:t>
      </w:r>
      <w:r>
        <w:rPr>
          <w:rFonts w:ascii="Times New Roman" w:eastAsia="Times New Roman" w:hAnsi="Times New Roman" w:cs="Times New Roman"/>
          <w:i/>
        </w:rPr>
        <w:t xml:space="preserve"> V</w:t>
      </w:r>
      <w:r>
        <w:rPr>
          <w:rFonts w:ascii="Times New Roman" w:eastAsia="Times New Roman" w:hAnsi="Times New Roman" w:cs="Times New Roman"/>
        </w:rPr>
        <w:t xml:space="preserve"> (30%), </w:t>
      </w:r>
      <w:r>
        <w:rPr>
          <w:rFonts w:ascii="Times New Roman" w:eastAsia="Times New Roman" w:hAnsi="Times New Roman" w:cs="Times New Roman"/>
          <w:i/>
        </w:rPr>
        <w:t>M</w:t>
      </w:r>
      <w:r>
        <w:rPr>
          <w:rFonts w:ascii="Times New Roman" w:eastAsia="Times New Roman" w:hAnsi="Times New Roman" w:cs="Times New Roman"/>
        </w:rPr>
        <w:t xml:space="preserve"> (30%), </w:t>
      </w:r>
      <w:r>
        <w:rPr>
          <w:rFonts w:ascii="Times New Roman" w:eastAsia="Times New Roman" w:hAnsi="Times New Roman" w:cs="Times New Roman"/>
          <w:i/>
        </w:rPr>
        <w:t>EAA</w:t>
      </w:r>
      <w:r>
        <w:rPr>
          <w:rFonts w:ascii="Times New Roman" w:eastAsia="Times New Roman" w:hAnsi="Times New Roman" w:cs="Times New Roman"/>
        </w:rPr>
        <w:t xml:space="preserve"> (20%), </w:t>
      </w:r>
      <w:r>
        <w:rPr>
          <w:rFonts w:ascii="Times New Roman" w:eastAsia="Times New Roman" w:hAnsi="Times New Roman" w:cs="Times New Roman"/>
          <w:i/>
        </w:rPr>
        <w:t>n3</w:t>
      </w:r>
      <w:r>
        <w:rPr>
          <w:rFonts w:ascii="Times New Roman" w:eastAsia="Times New Roman" w:hAnsi="Times New Roman" w:cs="Times New Roman"/>
        </w:rPr>
        <w:t xml:space="preserve"> (10%), </w:t>
      </w:r>
      <w:r>
        <w:rPr>
          <w:rFonts w:ascii="Times New Roman" w:eastAsia="Times New Roman" w:hAnsi="Times New Roman" w:cs="Times New Roman"/>
          <w:i/>
        </w:rPr>
        <w:t>F</w:t>
      </w:r>
      <w:r>
        <w:rPr>
          <w:rFonts w:ascii="Times New Roman" w:eastAsia="Times New Roman" w:hAnsi="Times New Roman" w:cs="Times New Roman"/>
        </w:rPr>
        <w:t xml:space="preserve"> (</w:t>
      </w:r>
      <w:r w:rsidR="009D3AE6">
        <w:rPr>
          <w:rFonts w:ascii="Times New Roman" w:eastAsia="Times New Roman" w:hAnsi="Times New Roman" w:cs="Times New Roman"/>
        </w:rPr>
        <w:t>2.</w:t>
      </w:r>
      <w:r>
        <w:rPr>
          <w:rFonts w:ascii="Times New Roman" w:eastAsia="Times New Roman" w:hAnsi="Times New Roman" w:cs="Times New Roman"/>
        </w:rPr>
        <w:t xml:space="preserve">5%), </w:t>
      </w:r>
      <w:r w:rsidR="009D3AE6" w:rsidRPr="00CC0BC5">
        <w:rPr>
          <w:rFonts w:ascii="Times New Roman" w:eastAsia="Times New Roman" w:hAnsi="Times New Roman" w:cs="Times New Roman"/>
          <w:i/>
          <w:iCs/>
        </w:rPr>
        <w:t>C</w:t>
      </w:r>
      <w:r w:rsidR="009D3AE6">
        <w:rPr>
          <w:rFonts w:ascii="Times New Roman" w:eastAsia="Times New Roman" w:hAnsi="Times New Roman" w:cs="Times New Roman"/>
        </w:rPr>
        <w:t xml:space="preserve"> (2.5%), </w:t>
      </w:r>
      <w:r>
        <w:rPr>
          <w:rFonts w:ascii="Times New Roman" w:eastAsia="Times New Roman" w:hAnsi="Times New Roman" w:cs="Times New Roman"/>
          <w:i/>
        </w:rPr>
        <w:t>NR</w:t>
      </w:r>
      <w:r>
        <w:rPr>
          <w:rFonts w:ascii="Times New Roman" w:eastAsia="Times New Roman" w:hAnsi="Times New Roman" w:cs="Times New Roman"/>
        </w:rPr>
        <w:t xml:space="preserve"> (5%). Third, we winsorized the NVS by truncating outliers at the 5</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and 95</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percentiles.</w:t>
      </w:r>
      <w:r w:rsidR="00196E93">
        <w:rPr>
          <w:rFonts w:ascii="Times New Roman" w:eastAsia="Times New Roman" w:hAnsi="Times New Roman" w:cs="Times New Roman"/>
        </w:rPr>
        <w:t xml:space="preserve"> </w:t>
      </w:r>
      <w:r w:rsidR="004656CC">
        <w:rPr>
          <w:rFonts w:ascii="Times New Roman" w:eastAsia="Times New Roman" w:hAnsi="Times New Roman" w:cs="Times New Roman"/>
        </w:rPr>
        <w:t xml:space="preserve">Fourth, we applied the NVS algorithm without </w:t>
      </w:r>
      <w:r w:rsidR="00196E93" w:rsidRPr="00196E93">
        <w:rPr>
          <w:rFonts w:ascii="Times New Roman" w:eastAsia="Times New Roman" w:hAnsi="Times New Roman" w:cs="Times New Roman"/>
        </w:rPr>
        <w:t>adjusting for bioavailability</w:t>
      </w:r>
      <w:r w:rsidR="00C320E6">
        <w:rPr>
          <w:rFonts w:ascii="Times New Roman" w:eastAsia="Times New Roman" w:hAnsi="Times New Roman" w:cs="Times New Roman"/>
        </w:rPr>
        <w:t xml:space="preserve"> of </w:t>
      </w:r>
      <w:r w:rsidR="00C320E6" w:rsidRPr="00196E93">
        <w:rPr>
          <w:rFonts w:ascii="Times New Roman" w:eastAsia="Times New Roman" w:hAnsi="Times New Roman" w:cs="Times New Roman"/>
        </w:rPr>
        <w:t>iron and zinc</w:t>
      </w:r>
      <w:r w:rsidR="00C320E6">
        <w:rPr>
          <w:rFonts w:ascii="Times New Roman" w:eastAsia="Times New Roman" w:hAnsi="Times New Roman" w:cs="Times New Roman"/>
        </w:rPr>
        <w:t>, by assuming</w:t>
      </w:r>
      <w:r w:rsidR="00196E93" w:rsidRPr="00196E93">
        <w:rPr>
          <w:rFonts w:ascii="Times New Roman" w:eastAsia="Times New Roman" w:hAnsi="Times New Roman" w:cs="Times New Roman"/>
        </w:rPr>
        <w:t xml:space="preserve"> 15% iron bioavailability and 35% zinc bioavailability</w:t>
      </w:r>
      <w:r w:rsidR="00C320E6">
        <w:rPr>
          <w:rFonts w:ascii="Times New Roman" w:eastAsia="Times New Roman" w:hAnsi="Times New Roman" w:cs="Times New Roman"/>
        </w:rPr>
        <w:t xml:space="preserve"> for all foods indistinctly</w:t>
      </w:r>
      <w:r w:rsidR="00196E93" w:rsidRPr="00196E93">
        <w:rPr>
          <w:rFonts w:ascii="Times New Roman" w:eastAsia="Times New Roman" w:hAnsi="Times New Roman" w:cs="Times New Roman"/>
        </w:rPr>
        <w:t xml:space="preserve">. </w:t>
      </w:r>
      <w:r w:rsidR="00B03D92">
        <w:rPr>
          <w:rFonts w:ascii="Times New Roman" w:eastAsia="Times New Roman" w:hAnsi="Times New Roman" w:cs="Times New Roman"/>
        </w:rPr>
        <w:t xml:space="preserve">Last, we calculated </w:t>
      </w:r>
      <w:r w:rsidR="00CB58A8">
        <w:rPr>
          <w:rFonts w:ascii="Times New Roman" w:eastAsia="Times New Roman" w:hAnsi="Times New Roman" w:cs="Times New Roman"/>
        </w:rPr>
        <w:t xml:space="preserve">the </w:t>
      </w:r>
      <w:r w:rsidR="00B03D92">
        <w:rPr>
          <w:rFonts w:ascii="Times New Roman" w:eastAsia="Times New Roman" w:hAnsi="Times New Roman" w:cs="Times New Roman"/>
        </w:rPr>
        <w:t>NVS when using mass or energy as the sole reference unit.</w:t>
      </w:r>
    </w:p>
    <w:p w14:paraId="6035F204" w14:textId="77777777" w:rsidR="00C05F6D" w:rsidRDefault="00C05F6D">
      <w:pPr>
        <w:spacing w:line="480" w:lineRule="auto"/>
        <w:rPr>
          <w:rFonts w:ascii="Times New Roman" w:eastAsia="Times New Roman" w:hAnsi="Times New Roman" w:cs="Times New Roman"/>
        </w:rPr>
      </w:pPr>
    </w:p>
    <w:p w14:paraId="10925FEB" w14:textId="77777777"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b/>
          <w:sz w:val="28"/>
          <w:szCs w:val="28"/>
        </w:rPr>
        <w:t>Data Availability</w:t>
      </w:r>
    </w:p>
    <w:p w14:paraId="5A767364" w14:textId="77777777"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t>All data are publicly available in cited references and in the Extended Data.</w:t>
      </w:r>
    </w:p>
    <w:p w14:paraId="0225016C" w14:textId="77777777" w:rsidR="006D1D06" w:rsidRDefault="006D1D06">
      <w:pPr>
        <w:spacing w:line="480" w:lineRule="auto"/>
        <w:rPr>
          <w:rFonts w:ascii="Times New Roman" w:eastAsia="Times New Roman" w:hAnsi="Times New Roman" w:cs="Times New Roman"/>
        </w:rPr>
      </w:pPr>
    </w:p>
    <w:p w14:paraId="0D35A5F0" w14:textId="77777777" w:rsidR="00C05F6D" w:rsidRDefault="000D22B3">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 Availability</w:t>
      </w:r>
    </w:p>
    <w:p w14:paraId="5E2B9D29" w14:textId="77777777" w:rsidR="00C05F6D" w:rsidRDefault="000D22B3">
      <w:pPr>
        <w:spacing w:line="480" w:lineRule="auto"/>
        <w:rPr>
          <w:rFonts w:ascii="Times New Roman" w:eastAsia="Times New Roman" w:hAnsi="Times New Roman" w:cs="Times New Roman"/>
        </w:rPr>
      </w:pPr>
      <w:r>
        <w:rPr>
          <w:rFonts w:ascii="Times New Roman" w:eastAsia="Times New Roman" w:hAnsi="Times New Roman" w:cs="Times New Roman"/>
        </w:rPr>
        <w:t>All code will be made available on GitHub before the time of publication.</w:t>
      </w:r>
    </w:p>
    <w:p w14:paraId="4E7E494E" w14:textId="77777777" w:rsidR="006D1D06" w:rsidRDefault="006D1D06">
      <w:pPr>
        <w:spacing w:line="480" w:lineRule="auto"/>
        <w:rPr>
          <w:rFonts w:ascii="Times New Roman" w:eastAsia="Times New Roman" w:hAnsi="Times New Roman" w:cs="Times New Roman"/>
        </w:rPr>
      </w:pPr>
    </w:p>
    <w:p w14:paraId="3470075C" w14:textId="77777777" w:rsidR="006D1D06" w:rsidRDefault="006D1D06" w:rsidP="006D1D06">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Acknowledgements</w:t>
      </w:r>
    </w:p>
    <w:p w14:paraId="48D72B4D" w14:textId="77777777" w:rsidR="006D1D06" w:rsidRDefault="006D1D06" w:rsidP="006D1D06">
      <w:pPr>
        <w:spacing w:line="480" w:lineRule="auto"/>
        <w:rPr>
          <w:rFonts w:ascii="Times New Roman" w:eastAsia="Times New Roman" w:hAnsi="Times New Roman" w:cs="Times New Roman"/>
        </w:rPr>
      </w:pPr>
      <w:r>
        <w:rPr>
          <w:rFonts w:ascii="Times New Roman" w:eastAsia="Times New Roman" w:hAnsi="Times New Roman" w:cs="Times New Roman"/>
        </w:rPr>
        <w:t>We thank Saul Morris, Stella Nordhagen, Allison O’Leary, and Bree Beal for their feedback on a draft version of this article. This work was supported by the Dutch Ministry of Foreign Affairs.</w:t>
      </w:r>
    </w:p>
    <w:p w14:paraId="01A50720" w14:textId="77777777" w:rsidR="006D1D06" w:rsidRDefault="006D1D06" w:rsidP="006D1D06">
      <w:pPr>
        <w:spacing w:line="480" w:lineRule="auto"/>
        <w:rPr>
          <w:rFonts w:ascii="Times New Roman" w:eastAsia="Times New Roman" w:hAnsi="Times New Roman" w:cs="Times New Roman"/>
        </w:rPr>
      </w:pPr>
    </w:p>
    <w:p w14:paraId="330EFFD6" w14:textId="77777777" w:rsidR="006D1D06" w:rsidRDefault="006D1D06" w:rsidP="006D1D06">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Author contributions</w:t>
      </w:r>
    </w:p>
    <w:p w14:paraId="61798AD6" w14:textId="77777777" w:rsidR="006D1D06" w:rsidRDefault="006D1D06" w:rsidP="006D1D06">
      <w:pPr>
        <w:spacing w:line="480" w:lineRule="auto"/>
        <w:rPr>
          <w:rFonts w:ascii="Times New Roman" w:eastAsia="Times New Roman" w:hAnsi="Times New Roman" w:cs="Times New Roman"/>
        </w:rPr>
      </w:pPr>
      <w:r>
        <w:rPr>
          <w:rFonts w:ascii="Times New Roman" w:eastAsia="Times New Roman" w:hAnsi="Times New Roman" w:cs="Times New Roman"/>
        </w:rPr>
        <w:t>T.B and F.O developed the theory and methods and co-wrote the manuscript.</w:t>
      </w:r>
    </w:p>
    <w:p w14:paraId="0ED00DC6" w14:textId="77777777" w:rsidR="006D1D06" w:rsidRDefault="006D1D06" w:rsidP="006D1D06">
      <w:pPr>
        <w:spacing w:line="480" w:lineRule="auto"/>
        <w:rPr>
          <w:rFonts w:ascii="Times New Roman" w:eastAsia="Times New Roman" w:hAnsi="Times New Roman" w:cs="Times New Roman"/>
        </w:rPr>
      </w:pPr>
    </w:p>
    <w:p w14:paraId="5EAD0E83" w14:textId="77777777" w:rsidR="006D1D06" w:rsidRDefault="006D1D06" w:rsidP="006D1D06">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Competing interest declaration</w:t>
      </w:r>
    </w:p>
    <w:p w14:paraId="7A4C5490" w14:textId="169CC4F2" w:rsidR="006D1D06" w:rsidRDefault="006D1D06">
      <w:pPr>
        <w:spacing w:line="480" w:lineRule="auto"/>
        <w:rPr>
          <w:rFonts w:ascii="Times New Roman" w:eastAsia="Times New Roman" w:hAnsi="Times New Roman" w:cs="Times New Roman"/>
        </w:rPr>
      </w:pPr>
      <w:r>
        <w:rPr>
          <w:rFonts w:ascii="Times New Roman" w:eastAsia="Times New Roman" w:hAnsi="Times New Roman" w:cs="Times New Roman"/>
        </w:rPr>
        <w:t>The authors declare no competing interests.</w:t>
      </w:r>
    </w:p>
    <w:p w14:paraId="4A3917D8" w14:textId="77777777" w:rsidR="00C05F6D" w:rsidRDefault="00C05F6D">
      <w:pPr>
        <w:spacing w:line="480" w:lineRule="auto"/>
        <w:rPr>
          <w:rFonts w:ascii="Times New Roman" w:eastAsia="Times New Roman" w:hAnsi="Times New Roman" w:cs="Times New Roman"/>
        </w:rPr>
      </w:pPr>
    </w:p>
    <w:p w14:paraId="034CEB3F" w14:textId="77777777" w:rsidR="00E03017" w:rsidRDefault="00E03017" w:rsidP="00E03017">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59631127" w14:textId="77777777" w:rsidR="009C0D3D" w:rsidRPr="009C0D3D" w:rsidRDefault="00E03017" w:rsidP="009C0D3D">
      <w:pPr>
        <w:pStyle w:val="Bibliography"/>
        <w:rPr>
          <w:rFonts w:ascii="Times New Roman" w:hAnsi="Times New Roman" w:cs="Times New Roman"/>
          <w:sz w:val="28"/>
        </w:rPr>
      </w:pPr>
      <w:r>
        <w:rPr>
          <w:rFonts w:eastAsia="Times New Roman"/>
          <w:b/>
          <w:sz w:val="28"/>
          <w:szCs w:val="28"/>
        </w:rPr>
        <w:fldChar w:fldCharType="begin"/>
      </w:r>
      <w:r w:rsidR="009C0D3D">
        <w:rPr>
          <w:rFonts w:eastAsia="Times New Roman"/>
          <w:b/>
          <w:sz w:val="28"/>
          <w:szCs w:val="28"/>
        </w:rPr>
        <w:instrText xml:space="preserve"> ADDIN ZOTERO_BIBL {"uncited":[],"omitted":[],"custom":[]} CSL_BIBLIOGRAPHY </w:instrText>
      </w:r>
      <w:r>
        <w:rPr>
          <w:rFonts w:eastAsia="Times New Roman"/>
          <w:b/>
          <w:sz w:val="28"/>
          <w:szCs w:val="28"/>
        </w:rPr>
        <w:fldChar w:fldCharType="separate"/>
      </w:r>
      <w:r w:rsidR="009C0D3D" w:rsidRPr="009C0D3D">
        <w:rPr>
          <w:rFonts w:ascii="Times New Roman" w:hAnsi="Times New Roman" w:cs="Times New Roman"/>
          <w:sz w:val="28"/>
        </w:rPr>
        <w:t>1.</w:t>
      </w:r>
      <w:r w:rsidR="009C0D3D" w:rsidRPr="009C0D3D">
        <w:rPr>
          <w:rFonts w:ascii="Times New Roman" w:hAnsi="Times New Roman" w:cs="Times New Roman"/>
          <w:sz w:val="28"/>
        </w:rPr>
        <w:tab/>
        <w:t xml:space="preserve">World Health Organization. </w:t>
      </w:r>
      <w:r w:rsidR="009C0D3D" w:rsidRPr="009C0D3D">
        <w:rPr>
          <w:rFonts w:ascii="Times New Roman" w:hAnsi="Times New Roman" w:cs="Times New Roman"/>
          <w:i/>
          <w:iCs/>
          <w:sz w:val="28"/>
        </w:rPr>
        <w:t>Nutrient Profiling: Report of a WHO/IASO Technical Meeting, London, United Kingdom 4‐6 October 2010</w:t>
      </w:r>
      <w:r w:rsidR="009C0D3D" w:rsidRPr="009C0D3D">
        <w:rPr>
          <w:rFonts w:ascii="Times New Roman" w:hAnsi="Times New Roman" w:cs="Times New Roman"/>
          <w:sz w:val="28"/>
        </w:rPr>
        <w:t>. (World Health Organization, Geneva, Switzerland, 2011).</w:t>
      </w:r>
    </w:p>
    <w:p w14:paraId="4895EAFF"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2.</w:t>
      </w:r>
      <w:r w:rsidRPr="009C0D3D">
        <w:rPr>
          <w:rFonts w:ascii="Times New Roman" w:hAnsi="Times New Roman" w:cs="Times New Roman"/>
          <w:sz w:val="28"/>
        </w:rPr>
        <w:tab/>
        <w:t xml:space="preserve">Drewnowski, A., Amanquah, D. &amp; Gavin-Smith, B. Perspective: How to Develop Nutrient Profiling Models Intended for Global Use: A Manual. </w:t>
      </w:r>
      <w:r w:rsidRPr="009C0D3D">
        <w:rPr>
          <w:rFonts w:ascii="Times New Roman" w:hAnsi="Times New Roman" w:cs="Times New Roman"/>
          <w:i/>
          <w:iCs/>
          <w:sz w:val="28"/>
        </w:rPr>
        <w:t>Advances in Nutrition</w:t>
      </w:r>
      <w:r w:rsidRPr="009C0D3D">
        <w:rPr>
          <w:rFonts w:ascii="Times New Roman" w:hAnsi="Times New Roman" w:cs="Times New Roman"/>
          <w:sz w:val="28"/>
        </w:rPr>
        <w:t xml:space="preserve"> </w:t>
      </w:r>
      <w:r w:rsidRPr="009C0D3D">
        <w:rPr>
          <w:rFonts w:ascii="Times New Roman" w:hAnsi="Times New Roman" w:cs="Times New Roman"/>
          <w:b/>
          <w:bCs/>
          <w:sz w:val="28"/>
        </w:rPr>
        <w:t>12</w:t>
      </w:r>
      <w:r w:rsidRPr="009C0D3D">
        <w:rPr>
          <w:rFonts w:ascii="Times New Roman" w:hAnsi="Times New Roman" w:cs="Times New Roman"/>
          <w:sz w:val="28"/>
        </w:rPr>
        <w:t>, 609–620 (2021).</w:t>
      </w:r>
    </w:p>
    <w:p w14:paraId="3A650CB5"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3.</w:t>
      </w:r>
      <w:r w:rsidRPr="009C0D3D">
        <w:rPr>
          <w:rFonts w:ascii="Times New Roman" w:hAnsi="Times New Roman" w:cs="Times New Roman"/>
          <w:sz w:val="28"/>
        </w:rPr>
        <w:tab/>
        <w:t xml:space="preserve">Mozaffarian, D. </w:t>
      </w:r>
      <w:r w:rsidRPr="009C0D3D">
        <w:rPr>
          <w:rFonts w:ascii="Times New Roman" w:hAnsi="Times New Roman" w:cs="Times New Roman"/>
          <w:i/>
          <w:iCs/>
          <w:sz w:val="28"/>
        </w:rPr>
        <w:t>et al.</w:t>
      </w:r>
      <w:r w:rsidRPr="009C0D3D">
        <w:rPr>
          <w:rFonts w:ascii="Times New Roman" w:hAnsi="Times New Roman" w:cs="Times New Roman"/>
          <w:sz w:val="28"/>
        </w:rPr>
        <w:t xml:space="preserve"> Food Compass is a nutrient profiling system using expanded characteristics for assessing healthfulness of foods. </w:t>
      </w:r>
      <w:r w:rsidRPr="009C0D3D">
        <w:rPr>
          <w:rFonts w:ascii="Times New Roman" w:hAnsi="Times New Roman" w:cs="Times New Roman"/>
          <w:i/>
          <w:iCs/>
          <w:sz w:val="28"/>
        </w:rPr>
        <w:t>Nat Food</w:t>
      </w:r>
      <w:r w:rsidRPr="009C0D3D">
        <w:rPr>
          <w:rFonts w:ascii="Times New Roman" w:hAnsi="Times New Roman" w:cs="Times New Roman"/>
          <w:sz w:val="28"/>
        </w:rPr>
        <w:t xml:space="preserve"> </w:t>
      </w:r>
      <w:r w:rsidRPr="009C0D3D">
        <w:rPr>
          <w:rFonts w:ascii="Times New Roman" w:hAnsi="Times New Roman" w:cs="Times New Roman"/>
          <w:b/>
          <w:bCs/>
          <w:sz w:val="28"/>
        </w:rPr>
        <w:t>2</w:t>
      </w:r>
      <w:r w:rsidRPr="009C0D3D">
        <w:rPr>
          <w:rFonts w:ascii="Times New Roman" w:hAnsi="Times New Roman" w:cs="Times New Roman"/>
          <w:sz w:val="28"/>
        </w:rPr>
        <w:t>, 809–818 (2021).</w:t>
      </w:r>
    </w:p>
    <w:p w14:paraId="51A54DF3"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4.</w:t>
      </w:r>
      <w:r w:rsidRPr="009C0D3D">
        <w:rPr>
          <w:rFonts w:ascii="Times New Roman" w:hAnsi="Times New Roman" w:cs="Times New Roman"/>
          <w:sz w:val="28"/>
        </w:rPr>
        <w:tab/>
        <w:t xml:space="preserve">Fulgoni, V. L., Keast, D. R. &amp; Drewnowski, A. Development and Validation of the Nutrient-Rich Foods Index: A Tool to Measure Nutritional Quality of Foods, ,. </w:t>
      </w:r>
      <w:r w:rsidRPr="009C0D3D">
        <w:rPr>
          <w:rFonts w:ascii="Times New Roman" w:hAnsi="Times New Roman" w:cs="Times New Roman"/>
          <w:i/>
          <w:iCs/>
          <w:sz w:val="28"/>
        </w:rPr>
        <w:t>The Journal of Nutrition</w:t>
      </w:r>
      <w:r w:rsidRPr="009C0D3D">
        <w:rPr>
          <w:rFonts w:ascii="Times New Roman" w:hAnsi="Times New Roman" w:cs="Times New Roman"/>
          <w:sz w:val="28"/>
        </w:rPr>
        <w:t xml:space="preserve"> </w:t>
      </w:r>
      <w:r w:rsidRPr="009C0D3D">
        <w:rPr>
          <w:rFonts w:ascii="Times New Roman" w:hAnsi="Times New Roman" w:cs="Times New Roman"/>
          <w:b/>
          <w:bCs/>
          <w:sz w:val="28"/>
        </w:rPr>
        <w:t>139</w:t>
      </w:r>
      <w:r w:rsidRPr="009C0D3D">
        <w:rPr>
          <w:rFonts w:ascii="Times New Roman" w:hAnsi="Times New Roman" w:cs="Times New Roman"/>
          <w:sz w:val="28"/>
        </w:rPr>
        <w:t>, 1549–1554 (2009).</w:t>
      </w:r>
    </w:p>
    <w:p w14:paraId="4DAC4715"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5.</w:t>
      </w:r>
      <w:r w:rsidRPr="009C0D3D">
        <w:rPr>
          <w:rFonts w:ascii="Times New Roman" w:hAnsi="Times New Roman" w:cs="Times New Roman"/>
          <w:sz w:val="28"/>
        </w:rPr>
        <w:tab/>
        <w:t xml:space="preserve">O’Hearn, M. </w:t>
      </w:r>
      <w:r w:rsidRPr="009C0D3D">
        <w:rPr>
          <w:rFonts w:ascii="Times New Roman" w:hAnsi="Times New Roman" w:cs="Times New Roman"/>
          <w:i/>
          <w:iCs/>
          <w:sz w:val="28"/>
        </w:rPr>
        <w:t>et al.</w:t>
      </w:r>
      <w:r w:rsidRPr="009C0D3D">
        <w:rPr>
          <w:rFonts w:ascii="Times New Roman" w:hAnsi="Times New Roman" w:cs="Times New Roman"/>
          <w:sz w:val="28"/>
        </w:rPr>
        <w:t xml:space="preserve"> Validation of Food Compass with a healthy diet, cardiometabolic health, and mortality among U.S. adults, 1999–2018. </w:t>
      </w:r>
      <w:r w:rsidRPr="009C0D3D">
        <w:rPr>
          <w:rFonts w:ascii="Times New Roman" w:hAnsi="Times New Roman" w:cs="Times New Roman"/>
          <w:i/>
          <w:iCs/>
          <w:sz w:val="28"/>
        </w:rPr>
        <w:t>Nat Commun</w:t>
      </w:r>
      <w:r w:rsidRPr="009C0D3D">
        <w:rPr>
          <w:rFonts w:ascii="Times New Roman" w:hAnsi="Times New Roman" w:cs="Times New Roman"/>
          <w:sz w:val="28"/>
        </w:rPr>
        <w:t xml:space="preserve"> </w:t>
      </w:r>
      <w:r w:rsidRPr="009C0D3D">
        <w:rPr>
          <w:rFonts w:ascii="Times New Roman" w:hAnsi="Times New Roman" w:cs="Times New Roman"/>
          <w:b/>
          <w:bCs/>
          <w:sz w:val="28"/>
        </w:rPr>
        <w:t>13</w:t>
      </w:r>
      <w:r w:rsidRPr="009C0D3D">
        <w:rPr>
          <w:rFonts w:ascii="Times New Roman" w:hAnsi="Times New Roman" w:cs="Times New Roman"/>
          <w:sz w:val="28"/>
        </w:rPr>
        <w:t>, 7066 (2022).</w:t>
      </w:r>
    </w:p>
    <w:p w14:paraId="652FC85E"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6.</w:t>
      </w:r>
      <w:r w:rsidRPr="009C0D3D">
        <w:rPr>
          <w:rFonts w:ascii="Times New Roman" w:hAnsi="Times New Roman" w:cs="Times New Roman"/>
          <w:sz w:val="28"/>
        </w:rPr>
        <w:tab/>
        <w:t xml:space="preserve">Ortenzi, F. </w:t>
      </w:r>
      <w:r w:rsidRPr="009C0D3D">
        <w:rPr>
          <w:rFonts w:ascii="Times New Roman" w:hAnsi="Times New Roman" w:cs="Times New Roman"/>
          <w:i/>
          <w:iCs/>
          <w:sz w:val="28"/>
        </w:rPr>
        <w:t>et al.</w:t>
      </w:r>
      <w:r w:rsidRPr="009C0D3D">
        <w:rPr>
          <w:rFonts w:ascii="Times New Roman" w:hAnsi="Times New Roman" w:cs="Times New Roman"/>
          <w:sz w:val="28"/>
        </w:rPr>
        <w:t xml:space="preserve"> Limitations of the Food Compass Nutrient Profiling System. </w:t>
      </w:r>
      <w:r w:rsidRPr="009C0D3D">
        <w:rPr>
          <w:rFonts w:ascii="Times New Roman" w:hAnsi="Times New Roman" w:cs="Times New Roman"/>
          <w:i/>
          <w:iCs/>
          <w:sz w:val="28"/>
        </w:rPr>
        <w:t>The Journal of Nutrition</w:t>
      </w:r>
      <w:r w:rsidRPr="009C0D3D">
        <w:rPr>
          <w:rFonts w:ascii="Times New Roman" w:hAnsi="Times New Roman" w:cs="Times New Roman"/>
          <w:sz w:val="28"/>
        </w:rPr>
        <w:t xml:space="preserve"> </w:t>
      </w:r>
      <w:r w:rsidRPr="009C0D3D">
        <w:rPr>
          <w:rFonts w:ascii="Times New Roman" w:hAnsi="Times New Roman" w:cs="Times New Roman"/>
          <w:b/>
          <w:bCs/>
          <w:sz w:val="28"/>
        </w:rPr>
        <w:t>153</w:t>
      </w:r>
      <w:r w:rsidRPr="009C0D3D">
        <w:rPr>
          <w:rFonts w:ascii="Times New Roman" w:hAnsi="Times New Roman" w:cs="Times New Roman"/>
          <w:sz w:val="28"/>
        </w:rPr>
        <w:t>, 610–614 (2023).</w:t>
      </w:r>
    </w:p>
    <w:p w14:paraId="7526B2E2"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lastRenderedPageBreak/>
        <w:t>7.</w:t>
      </w:r>
      <w:r w:rsidRPr="009C0D3D">
        <w:rPr>
          <w:rFonts w:ascii="Times New Roman" w:hAnsi="Times New Roman" w:cs="Times New Roman"/>
          <w:sz w:val="28"/>
        </w:rPr>
        <w:tab/>
        <w:t xml:space="preserve">Gutiérrez, O. M. Chapter 20 - Phosphorus. in </w:t>
      </w:r>
      <w:r w:rsidRPr="009C0D3D">
        <w:rPr>
          <w:rFonts w:ascii="Times New Roman" w:hAnsi="Times New Roman" w:cs="Times New Roman"/>
          <w:i/>
          <w:iCs/>
          <w:sz w:val="28"/>
        </w:rPr>
        <w:t>Present Knowledge in Nutrition (Eleventh Edition)</w:t>
      </w:r>
      <w:r w:rsidRPr="009C0D3D">
        <w:rPr>
          <w:rFonts w:ascii="Times New Roman" w:hAnsi="Times New Roman" w:cs="Times New Roman"/>
          <w:sz w:val="28"/>
        </w:rPr>
        <w:t xml:space="preserve"> (eds. Marriott, B. P., Birt, D. F., Stallings, V. A. &amp; Yates, A. A.) 335–348 (Academic Press, 2020). doi:10.1016/B978-0-323-66162-1.00020-2.</w:t>
      </w:r>
    </w:p>
    <w:p w14:paraId="68A98827"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8.</w:t>
      </w:r>
      <w:r w:rsidRPr="009C0D3D">
        <w:rPr>
          <w:rFonts w:ascii="Times New Roman" w:hAnsi="Times New Roman" w:cs="Times New Roman"/>
          <w:sz w:val="28"/>
        </w:rPr>
        <w:tab/>
        <w:t xml:space="preserve">Carson, J. A. S. </w:t>
      </w:r>
      <w:r w:rsidRPr="009C0D3D">
        <w:rPr>
          <w:rFonts w:ascii="Times New Roman" w:hAnsi="Times New Roman" w:cs="Times New Roman"/>
          <w:i/>
          <w:iCs/>
          <w:sz w:val="28"/>
        </w:rPr>
        <w:t>et al.</w:t>
      </w:r>
      <w:r w:rsidRPr="009C0D3D">
        <w:rPr>
          <w:rFonts w:ascii="Times New Roman" w:hAnsi="Times New Roman" w:cs="Times New Roman"/>
          <w:sz w:val="28"/>
        </w:rPr>
        <w:t xml:space="preserve"> Dietary Cholesterol and Cardiovascular Risk: A Science Advisory From the American Heart Association. </w:t>
      </w:r>
      <w:r w:rsidRPr="009C0D3D">
        <w:rPr>
          <w:rFonts w:ascii="Times New Roman" w:hAnsi="Times New Roman" w:cs="Times New Roman"/>
          <w:i/>
          <w:iCs/>
          <w:sz w:val="28"/>
        </w:rPr>
        <w:t>Circulation</w:t>
      </w:r>
      <w:r w:rsidRPr="009C0D3D">
        <w:rPr>
          <w:rFonts w:ascii="Times New Roman" w:hAnsi="Times New Roman" w:cs="Times New Roman"/>
          <w:sz w:val="28"/>
        </w:rPr>
        <w:t xml:space="preserve"> </w:t>
      </w:r>
      <w:r w:rsidRPr="009C0D3D">
        <w:rPr>
          <w:rFonts w:ascii="Times New Roman" w:hAnsi="Times New Roman" w:cs="Times New Roman"/>
          <w:b/>
          <w:bCs/>
          <w:sz w:val="28"/>
        </w:rPr>
        <w:t>141</w:t>
      </w:r>
      <w:r w:rsidRPr="009C0D3D">
        <w:rPr>
          <w:rFonts w:ascii="Times New Roman" w:hAnsi="Times New Roman" w:cs="Times New Roman"/>
          <w:sz w:val="28"/>
        </w:rPr>
        <w:t>, e39–e53 (2020).</w:t>
      </w:r>
    </w:p>
    <w:p w14:paraId="4AD92A57"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9.</w:t>
      </w:r>
      <w:r w:rsidRPr="009C0D3D">
        <w:rPr>
          <w:rFonts w:ascii="Times New Roman" w:hAnsi="Times New Roman" w:cs="Times New Roman"/>
          <w:sz w:val="28"/>
        </w:rPr>
        <w:tab/>
        <w:t xml:space="preserve">Herforth, A. </w:t>
      </w:r>
      <w:r w:rsidRPr="009C0D3D">
        <w:rPr>
          <w:rFonts w:ascii="Times New Roman" w:hAnsi="Times New Roman" w:cs="Times New Roman"/>
          <w:i/>
          <w:iCs/>
          <w:sz w:val="28"/>
        </w:rPr>
        <w:t>et al.</w:t>
      </w:r>
      <w:r w:rsidRPr="009C0D3D">
        <w:rPr>
          <w:rFonts w:ascii="Times New Roman" w:hAnsi="Times New Roman" w:cs="Times New Roman"/>
          <w:sz w:val="28"/>
        </w:rPr>
        <w:t xml:space="preserve"> A Global Review of Food-Based Dietary Guidelines. </w:t>
      </w:r>
      <w:r w:rsidRPr="009C0D3D">
        <w:rPr>
          <w:rFonts w:ascii="Times New Roman" w:hAnsi="Times New Roman" w:cs="Times New Roman"/>
          <w:i/>
          <w:iCs/>
          <w:sz w:val="28"/>
        </w:rPr>
        <w:t>Advances in Nutrition</w:t>
      </w:r>
      <w:r w:rsidRPr="009C0D3D">
        <w:rPr>
          <w:rFonts w:ascii="Times New Roman" w:hAnsi="Times New Roman" w:cs="Times New Roman"/>
          <w:sz w:val="28"/>
        </w:rPr>
        <w:t xml:space="preserve"> </w:t>
      </w:r>
      <w:r w:rsidRPr="009C0D3D">
        <w:rPr>
          <w:rFonts w:ascii="Times New Roman" w:hAnsi="Times New Roman" w:cs="Times New Roman"/>
          <w:b/>
          <w:bCs/>
          <w:sz w:val="28"/>
        </w:rPr>
        <w:t>10</w:t>
      </w:r>
      <w:r w:rsidRPr="009C0D3D">
        <w:rPr>
          <w:rFonts w:ascii="Times New Roman" w:hAnsi="Times New Roman" w:cs="Times New Roman"/>
          <w:sz w:val="28"/>
        </w:rPr>
        <w:t>, 590–605 (2019).</w:t>
      </w:r>
    </w:p>
    <w:p w14:paraId="083A3436"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10.</w:t>
      </w:r>
      <w:r w:rsidRPr="009C0D3D">
        <w:rPr>
          <w:rFonts w:ascii="Times New Roman" w:hAnsi="Times New Roman" w:cs="Times New Roman"/>
          <w:sz w:val="28"/>
        </w:rPr>
        <w:tab/>
        <w:t xml:space="preserve">Green, A., Nemecek, T. &amp; Mathys, A. A proposed framework to develop nutrient profiling algorithms for assessments of sustainable food: the metrics and their assumptions matter. </w:t>
      </w:r>
      <w:r w:rsidRPr="009C0D3D">
        <w:rPr>
          <w:rFonts w:ascii="Times New Roman" w:hAnsi="Times New Roman" w:cs="Times New Roman"/>
          <w:i/>
          <w:iCs/>
          <w:sz w:val="28"/>
        </w:rPr>
        <w:t>Int J Life Cycle Assess</w:t>
      </w:r>
      <w:r w:rsidRPr="009C0D3D">
        <w:rPr>
          <w:rFonts w:ascii="Times New Roman" w:hAnsi="Times New Roman" w:cs="Times New Roman"/>
          <w:sz w:val="28"/>
        </w:rPr>
        <w:t xml:space="preserve"> </w:t>
      </w:r>
      <w:r w:rsidRPr="009C0D3D">
        <w:rPr>
          <w:rFonts w:ascii="Times New Roman" w:hAnsi="Times New Roman" w:cs="Times New Roman"/>
          <w:b/>
          <w:bCs/>
          <w:sz w:val="28"/>
        </w:rPr>
        <w:t>28</w:t>
      </w:r>
      <w:r w:rsidRPr="009C0D3D">
        <w:rPr>
          <w:rFonts w:ascii="Times New Roman" w:hAnsi="Times New Roman" w:cs="Times New Roman"/>
          <w:sz w:val="28"/>
        </w:rPr>
        <w:t>, 1326–1347 (2023).</w:t>
      </w:r>
    </w:p>
    <w:p w14:paraId="3BF19E9C"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11.</w:t>
      </w:r>
      <w:r w:rsidRPr="009C0D3D">
        <w:rPr>
          <w:rFonts w:ascii="Times New Roman" w:hAnsi="Times New Roman" w:cs="Times New Roman"/>
          <w:sz w:val="28"/>
        </w:rPr>
        <w:tab/>
        <w:t xml:space="preserve">Drewnowski, A. The Nutrient Rich Foods Index helps to identify healthy, affordable foods1234. </w:t>
      </w:r>
      <w:r w:rsidRPr="009C0D3D">
        <w:rPr>
          <w:rFonts w:ascii="Times New Roman" w:hAnsi="Times New Roman" w:cs="Times New Roman"/>
          <w:i/>
          <w:iCs/>
          <w:sz w:val="28"/>
        </w:rPr>
        <w:t>The American Journal of Clinical Nutrition</w:t>
      </w:r>
      <w:r w:rsidRPr="009C0D3D">
        <w:rPr>
          <w:rFonts w:ascii="Times New Roman" w:hAnsi="Times New Roman" w:cs="Times New Roman"/>
          <w:sz w:val="28"/>
        </w:rPr>
        <w:t xml:space="preserve"> </w:t>
      </w:r>
      <w:r w:rsidRPr="009C0D3D">
        <w:rPr>
          <w:rFonts w:ascii="Times New Roman" w:hAnsi="Times New Roman" w:cs="Times New Roman"/>
          <w:b/>
          <w:bCs/>
          <w:sz w:val="28"/>
        </w:rPr>
        <w:t>91</w:t>
      </w:r>
      <w:r w:rsidRPr="009C0D3D">
        <w:rPr>
          <w:rFonts w:ascii="Times New Roman" w:hAnsi="Times New Roman" w:cs="Times New Roman"/>
          <w:sz w:val="28"/>
        </w:rPr>
        <w:t>, 1095S-1101S (2010).</w:t>
      </w:r>
    </w:p>
    <w:p w14:paraId="3F5E99D8"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12.</w:t>
      </w:r>
      <w:r w:rsidRPr="009C0D3D">
        <w:rPr>
          <w:rFonts w:ascii="Times New Roman" w:hAnsi="Times New Roman" w:cs="Times New Roman"/>
          <w:sz w:val="28"/>
        </w:rPr>
        <w:tab/>
        <w:t xml:space="preserve">McLaren, S. </w:t>
      </w:r>
      <w:r w:rsidRPr="009C0D3D">
        <w:rPr>
          <w:rFonts w:ascii="Times New Roman" w:hAnsi="Times New Roman" w:cs="Times New Roman"/>
          <w:i/>
          <w:iCs/>
          <w:sz w:val="28"/>
        </w:rPr>
        <w:t>Integration of Environment and Nutrition in Life Cycle Assessment of Food Items: Opportunities and Challenges</w:t>
      </w:r>
      <w:r w:rsidRPr="009C0D3D">
        <w:rPr>
          <w:rFonts w:ascii="Times New Roman" w:hAnsi="Times New Roman" w:cs="Times New Roman"/>
          <w:sz w:val="28"/>
        </w:rPr>
        <w:t>. (FAO, Rome, Italy, 2021). doi:10.4060/cb8054en.</w:t>
      </w:r>
    </w:p>
    <w:p w14:paraId="2B40BEC6"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13.</w:t>
      </w:r>
      <w:r w:rsidRPr="009C0D3D">
        <w:rPr>
          <w:rFonts w:ascii="Times New Roman" w:hAnsi="Times New Roman" w:cs="Times New Roman"/>
          <w:sz w:val="28"/>
        </w:rPr>
        <w:tab/>
        <w:t xml:space="preserve">McAuliffe, G. A., Takahashi, T. &amp; Lee, M. R. F. Applications of nutritional functional units in commodity-level life cycle assessment (LCA) of agri-food systems. </w:t>
      </w:r>
      <w:r w:rsidRPr="009C0D3D">
        <w:rPr>
          <w:rFonts w:ascii="Times New Roman" w:hAnsi="Times New Roman" w:cs="Times New Roman"/>
          <w:i/>
          <w:iCs/>
          <w:sz w:val="28"/>
        </w:rPr>
        <w:t>Int J Life Cycle Assess</w:t>
      </w:r>
      <w:r w:rsidRPr="009C0D3D">
        <w:rPr>
          <w:rFonts w:ascii="Times New Roman" w:hAnsi="Times New Roman" w:cs="Times New Roman"/>
          <w:sz w:val="28"/>
        </w:rPr>
        <w:t xml:space="preserve"> </w:t>
      </w:r>
      <w:r w:rsidRPr="009C0D3D">
        <w:rPr>
          <w:rFonts w:ascii="Times New Roman" w:hAnsi="Times New Roman" w:cs="Times New Roman"/>
          <w:b/>
          <w:bCs/>
          <w:sz w:val="28"/>
        </w:rPr>
        <w:t>25</w:t>
      </w:r>
      <w:r w:rsidRPr="009C0D3D">
        <w:rPr>
          <w:rFonts w:ascii="Times New Roman" w:hAnsi="Times New Roman" w:cs="Times New Roman"/>
          <w:sz w:val="28"/>
        </w:rPr>
        <w:t>, 208–221 (2020).</w:t>
      </w:r>
    </w:p>
    <w:p w14:paraId="6DE37A75"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lastRenderedPageBreak/>
        <w:t>14.</w:t>
      </w:r>
      <w:r w:rsidRPr="009C0D3D">
        <w:rPr>
          <w:rFonts w:ascii="Times New Roman" w:hAnsi="Times New Roman" w:cs="Times New Roman"/>
          <w:sz w:val="28"/>
        </w:rPr>
        <w:tab/>
        <w:t xml:space="preserve">Poore, J. &amp; Nemecek, T. Reducing food’s environmental impacts through producers and consumers. </w:t>
      </w:r>
      <w:r w:rsidRPr="009C0D3D">
        <w:rPr>
          <w:rFonts w:ascii="Times New Roman" w:hAnsi="Times New Roman" w:cs="Times New Roman"/>
          <w:i/>
          <w:iCs/>
          <w:sz w:val="28"/>
        </w:rPr>
        <w:t>Science</w:t>
      </w:r>
      <w:r w:rsidRPr="009C0D3D">
        <w:rPr>
          <w:rFonts w:ascii="Times New Roman" w:hAnsi="Times New Roman" w:cs="Times New Roman"/>
          <w:sz w:val="28"/>
        </w:rPr>
        <w:t xml:space="preserve"> </w:t>
      </w:r>
      <w:r w:rsidRPr="009C0D3D">
        <w:rPr>
          <w:rFonts w:ascii="Times New Roman" w:hAnsi="Times New Roman" w:cs="Times New Roman"/>
          <w:b/>
          <w:bCs/>
          <w:sz w:val="28"/>
        </w:rPr>
        <w:t>360</w:t>
      </w:r>
      <w:r w:rsidRPr="009C0D3D">
        <w:rPr>
          <w:rFonts w:ascii="Times New Roman" w:hAnsi="Times New Roman" w:cs="Times New Roman"/>
          <w:sz w:val="28"/>
        </w:rPr>
        <w:t>, 987–992 (2018).</w:t>
      </w:r>
    </w:p>
    <w:p w14:paraId="4ADDD41D"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15.</w:t>
      </w:r>
      <w:r w:rsidRPr="009C0D3D">
        <w:rPr>
          <w:rFonts w:ascii="Times New Roman" w:hAnsi="Times New Roman" w:cs="Times New Roman"/>
          <w:sz w:val="28"/>
        </w:rPr>
        <w:tab/>
        <w:t xml:space="preserve">Clark, M. </w:t>
      </w:r>
      <w:r w:rsidRPr="009C0D3D">
        <w:rPr>
          <w:rFonts w:ascii="Times New Roman" w:hAnsi="Times New Roman" w:cs="Times New Roman"/>
          <w:i/>
          <w:iCs/>
          <w:sz w:val="28"/>
        </w:rPr>
        <w:t>et al.</w:t>
      </w:r>
      <w:r w:rsidRPr="009C0D3D">
        <w:rPr>
          <w:rFonts w:ascii="Times New Roman" w:hAnsi="Times New Roman" w:cs="Times New Roman"/>
          <w:sz w:val="28"/>
        </w:rPr>
        <w:t xml:space="preserve"> Estimating the environmental impacts of 57,000 food products. </w:t>
      </w:r>
      <w:r w:rsidRPr="009C0D3D">
        <w:rPr>
          <w:rFonts w:ascii="Times New Roman" w:hAnsi="Times New Roman" w:cs="Times New Roman"/>
          <w:i/>
          <w:iCs/>
          <w:sz w:val="28"/>
        </w:rPr>
        <w:t>Proceedings of the National Academy of Sciences</w:t>
      </w:r>
      <w:r w:rsidRPr="009C0D3D">
        <w:rPr>
          <w:rFonts w:ascii="Times New Roman" w:hAnsi="Times New Roman" w:cs="Times New Roman"/>
          <w:sz w:val="28"/>
        </w:rPr>
        <w:t xml:space="preserve"> </w:t>
      </w:r>
      <w:r w:rsidRPr="009C0D3D">
        <w:rPr>
          <w:rFonts w:ascii="Times New Roman" w:hAnsi="Times New Roman" w:cs="Times New Roman"/>
          <w:b/>
          <w:bCs/>
          <w:sz w:val="28"/>
        </w:rPr>
        <w:t>119</w:t>
      </w:r>
      <w:r w:rsidRPr="009C0D3D">
        <w:rPr>
          <w:rFonts w:ascii="Times New Roman" w:hAnsi="Times New Roman" w:cs="Times New Roman"/>
          <w:sz w:val="28"/>
        </w:rPr>
        <w:t>, e2120584119 (2022).</w:t>
      </w:r>
    </w:p>
    <w:p w14:paraId="3B1F2EE2"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16.</w:t>
      </w:r>
      <w:r w:rsidRPr="009C0D3D">
        <w:rPr>
          <w:rFonts w:ascii="Times New Roman" w:hAnsi="Times New Roman" w:cs="Times New Roman"/>
          <w:sz w:val="28"/>
        </w:rPr>
        <w:tab/>
        <w:t xml:space="preserve">Gephart, J. A. </w:t>
      </w:r>
      <w:r w:rsidRPr="009C0D3D">
        <w:rPr>
          <w:rFonts w:ascii="Times New Roman" w:hAnsi="Times New Roman" w:cs="Times New Roman"/>
          <w:i/>
          <w:iCs/>
          <w:sz w:val="28"/>
        </w:rPr>
        <w:t>et al.</w:t>
      </w:r>
      <w:r w:rsidRPr="009C0D3D">
        <w:rPr>
          <w:rFonts w:ascii="Times New Roman" w:hAnsi="Times New Roman" w:cs="Times New Roman"/>
          <w:sz w:val="28"/>
        </w:rPr>
        <w:t xml:space="preserve"> Environmental performance of blue foods. </w:t>
      </w:r>
      <w:r w:rsidRPr="009C0D3D">
        <w:rPr>
          <w:rFonts w:ascii="Times New Roman" w:hAnsi="Times New Roman" w:cs="Times New Roman"/>
          <w:i/>
          <w:iCs/>
          <w:sz w:val="28"/>
        </w:rPr>
        <w:t>Nature</w:t>
      </w:r>
      <w:r w:rsidRPr="009C0D3D">
        <w:rPr>
          <w:rFonts w:ascii="Times New Roman" w:hAnsi="Times New Roman" w:cs="Times New Roman"/>
          <w:sz w:val="28"/>
        </w:rPr>
        <w:t xml:space="preserve"> </w:t>
      </w:r>
      <w:r w:rsidRPr="009C0D3D">
        <w:rPr>
          <w:rFonts w:ascii="Times New Roman" w:hAnsi="Times New Roman" w:cs="Times New Roman"/>
          <w:b/>
          <w:bCs/>
          <w:sz w:val="28"/>
        </w:rPr>
        <w:t>597</w:t>
      </w:r>
      <w:r w:rsidRPr="009C0D3D">
        <w:rPr>
          <w:rFonts w:ascii="Times New Roman" w:hAnsi="Times New Roman" w:cs="Times New Roman"/>
          <w:sz w:val="28"/>
        </w:rPr>
        <w:t>, 360–365 (2021).</w:t>
      </w:r>
    </w:p>
    <w:p w14:paraId="36565F7B"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17.</w:t>
      </w:r>
      <w:r w:rsidRPr="009C0D3D">
        <w:rPr>
          <w:rFonts w:ascii="Times New Roman" w:hAnsi="Times New Roman" w:cs="Times New Roman"/>
          <w:sz w:val="28"/>
        </w:rPr>
        <w:tab/>
        <w:t xml:space="preserve">Drewnowski, A. </w:t>
      </w:r>
      <w:r w:rsidRPr="009C0D3D">
        <w:rPr>
          <w:rFonts w:ascii="Times New Roman" w:hAnsi="Times New Roman" w:cs="Times New Roman"/>
          <w:i/>
          <w:iCs/>
          <w:sz w:val="28"/>
        </w:rPr>
        <w:t>et al.</w:t>
      </w:r>
      <w:r w:rsidRPr="009C0D3D">
        <w:rPr>
          <w:rFonts w:ascii="Times New Roman" w:hAnsi="Times New Roman" w:cs="Times New Roman"/>
          <w:sz w:val="28"/>
        </w:rPr>
        <w:t xml:space="preserve"> Energy and nutrient density of foods in relation to their carbon footprint234. </w:t>
      </w:r>
      <w:r w:rsidRPr="009C0D3D">
        <w:rPr>
          <w:rFonts w:ascii="Times New Roman" w:hAnsi="Times New Roman" w:cs="Times New Roman"/>
          <w:i/>
          <w:iCs/>
          <w:sz w:val="28"/>
        </w:rPr>
        <w:t>The American Journal of Clinical Nutrition</w:t>
      </w:r>
      <w:r w:rsidRPr="009C0D3D">
        <w:rPr>
          <w:rFonts w:ascii="Times New Roman" w:hAnsi="Times New Roman" w:cs="Times New Roman"/>
          <w:sz w:val="28"/>
        </w:rPr>
        <w:t xml:space="preserve"> </w:t>
      </w:r>
      <w:r w:rsidRPr="009C0D3D">
        <w:rPr>
          <w:rFonts w:ascii="Times New Roman" w:hAnsi="Times New Roman" w:cs="Times New Roman"/>
          <w:b/>
          <w:bCs/>
          <w:sz w:val="28"/>
        </w:rPr>
        <w:t>101</w:t>
      </w:r>
      <w:r w:rsidRPr="009C0D3D">
        <w:rPr>
          <w:rFonts w:ascii="Times New Roman" w:hAnsi="Times New Roman" w:cs="Times New Roman"/>
          <w:sz w:val="28"/>
        </w:rPr>
        <w:t>, 184–191 (2015).</w:t>
      </w:r>
    </w:p>
    <w:p w14:paraId="2A99C12F"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18.</w:t>
      </w:r>
      <w:r w:rsidRPr="009C0D3D">
        <w:rPr>
          <w:rFonts w:ascii="Times New Roman" w:hAnsi="Times New Roman" w:cs="Times New Roman"/>
          <w:sz w:val="28"/>
        </w:rPr>
        <w:tab/>
        <w:t xml:space="preserve">Katz-Rosene, R., Ortenzi, F., McAuliffe, G. A. &amp; Beal, T. Levelling foods for priority micronutrient value can provide more meaningful environmental footprint comparisons. </w:t>
      </w:r>
      <w:r w:rsidRPr="009C0D3D">
        <w:rPr>
          <w:rFonts w:ascii="Times New Roman" w:hAnsi="Times New Roman" w:cs="Times New Roman"/>
          <w:i/>
          <w:iCs/>
          <w:sz w:val="28"/>
        </w:rPr>
        <w:t>Commun Earth Environ</w:t>
      </w:r>
      <w:r w:rsidRPr="009C0D3D">
        <w:rPr>
          <w:rFonts w:ascii="Times New Roman" w:hAnsi="Times New Roman" w:cs="Times New Roman"/>
          <w:sz w:val="28"/>
        </w:rPr>
        <w:t xml:space="preserve"> </w:t>
      </w:r>
      <w:r w:rsidRPr="009C0D3D">
        <w:rPr>
          <w:rFonts w:ascii="Times New Roman" w:hAnsi="Times New Roman" w:cs="Times New Roman"/>
          <w:b/>
          <w:bCs/>
          <w:sz w:val="28"/>
        </w:rPr>
        <w:t>4</w:t>
      </w:r>
      <w:r w:rsidRPr="009C0D3D">
        <w:rPr>
          <w:rFonts w:ascii="Times New Roman" w:hAnsi="Times New Roman" w:cs="Times New Roman"/>
          <w:sz w:val="28"/>
        </w:rPr>
        <w:t>, 1–9 (2023).</w:t>
      </w:r>
    </w:p>
    <w:p w14:paraId="6794F732"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19.</w:t>
      </w:r>
      <w:r w:rsidRPr="009C0D3D">
        <w:rPr>
          <w:rFonts w:ascii="Times New Roman" w:hAnsi="Times New Roman" w:cs="Times New Roman"/>
          <w:sz w:val="28"/>
        </w:rPr>
        <w:tab/>
        <w:t xml:space="preserve">Headey, D. D. &amp; Alderman, H. H. The Relative Caloric Prices of Healthy and Unhealthy Foods Differ Systematically across Income Levels and Continents. </w:t>
      </w:r>
      <w:r w:rsidRPr="009C0D3D">
        <w:rPr>
          <w:rFonts w:ascii="Times New Roman" w:hAnsi="Times New Roman" w:cs="Times New Roman"/>
          <w:i/>
          <w:iCs/>
          <w:sz w:val="28"/>
        </w:rPr>
        <w:t>J Nutr</w:t>
      </w:r>
      <w:r w:rsidRPr="009C0D3D">
        <w:rPr>
          <w:rFonts w:ascii="Times New Roman" w:hAnsi="Times New Roman" w:cs="Times New Roman"/>
          <w:sz w:val="28"/>
        </w:rPr>
        <w:t xml:space="preserve"> </w:t>
      </w:r>
      <w:r w:rsidRPr="009C0D3D">
        <w:rPr>
          <w:rFonts w:ascii="Times New Roman" w:hAnsi="Times New Roman" w:cs="Times New Roman"/>
          <w:b/>
          <w:bCs/>
          <w:sz w:val="28"/>
        </w:rPr>
        <w:t>149</w:t>
      </w:r>
      <w:r w:rsidRPr="009C0D3D">
        <w:rPr>
          <w:rFonts w:ascii="Times New Roman" w:hAnsi="Times New Roman" w:cs="Times New Roman"/>
          <w:sz w:val="28"/>
        </w:rPr>
        <w:t>, 2020–2033 (2019).</w:t>
      </w:r>
    </w:p>
    <w:p w14:paraId="58DC322C"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20.</w:t>
      </w:r>
      <w:r w:rsidRPr="009C0D3D">
        <w:rPr>
          <w:rFonts w:ascii="Times New Roman" w:hAnsi="Times New Roman" w:cs="Times New Roman"/>
          <w:sz w:val="28"/>
        </w:rPr>
        <w:tab/>
        <w:t xml:space="preserve">Ryckman, T., Beal, T., Nordhagen, S., Chimanya, K. &amp; Matji, J. Affordability of nutritious foods for complementary feeding in Eastern and Southern Africa. </w:t>
      </w:r>
      <w:r w:rsidRPr="009C0D3D">
        <w:rPr>
          <w:rFonts w:ascii="Times New Roman" w:hAnsi="Times New Roman" w:cs="Times New Roman"/>
          <w:i/>
          <w:iCs/>
          <w:sz w:val="28"/>
        </w:rPr>
        <w:t>Nutrition Reviews</w:t>
      </w:r>
      <w:r w:rsidRPr="009C0D3D">
        <w:rPr>
          <w:rFonts w:ascii="Times New Roman" w:hAnsi="Times New Roman" w:cs="Times New Roman"/>
          <w:sz w:val="28"/>
        </w:rPr>
        <w:t xml:space="preserve"> </w:t>
      </w:r>
      <w:r w:rsidRPr="009C0D3D">
        <w:rPr>
          <w:rFonts w:ascii="Times New Roman" w:hAnsi="Times New Roman" w:cs="Times New Roman"/>
          <w:b/>
          <w:bCs/>
          <w:sz w:val="28"/>
        </w:rPr>
        <w:t>79</w:t>
      </w:r>
      <w:r w:rsidRPr="009C0D3D">
        <w:rPr>
          <w:rFonts w:ascii="Times New Roman" w:hAnsi="Times New Roman" w:cs="Times New Roman"/>
          <w:sz w:val="28"/>
        </w:rPr>
        <w:t>, (2021).</w:t>
      </w:r>
    </w:p>
    <w:p w14:paraId="127DA93D"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21.</w:t>
      </w:r>
      <w:r w:rsidRPr="009C0D3D">
        <w:rPr>
          <w:rFonts w:ascii="Times New Roman" w:hAnsi="Times New Roman" w:cs="Times New Roman"/>
          <w:sz w:val="28"/>
        </w:rPr>
        <w:tab/>
        <w:t xml:space="preserve">Food and Agriculture Organization of the United Nations, International Fund for Agricultural Development, World Food Programme, World Health Organization, &amp; The United Nations Children’s Fund. </w:t>
      </w:r>
      <w:r w:rsidRPr="009C0D3D">
        <w:rPr>
          <w:rFonts w:ascii="Times New Roman" w:hAnsi="Times New Roman" w:cs="Times New Roman"/>
          <w:i/>
          <w:iCs/>
          <w:sz w:val="28"/>
        </w:rPr>
        <w:t xml:space="preserve">The State of Food </w:t>
      </w:r>
      <w:r w:rsidRPr="009C0D3D">
        <w:rPr>
          <w:rFonts w:ascii="Times New Roman" w:hAnsi="Times New Roman" w:cs="Times New Roman"/>
          <w:i/>
          <w:iCs/>
          <w:sz w:val="28"/>
        </w:rPr>
        <w:lastRenderedPageBreak/>
        <w:t>Security and Nutrition in the World 2020: Transforming Food Systems for Affordable Healthy Diets</w:t>
      </w:r>
      <w:r w:rsidRPr="009C0D3D">
        <w:rPr>
          <w:rFonts w:ascii="Times New Roman" w:hAnsi="Times New Roman" w:cs="Times New Roman"/>
          <w:sz w:val="28"/>
        </w:rPr>
        <w:t>. (Food &amp; Agriculture Org., 2020).</w:t>
      </w:r>
    </w:p>
    <w:p w14:paraId="79D2482C"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22.</w:t>
      </w:r>
      <w:r w:rsidRPr="009C0D3D">
        <w:rPr>
          <w:rFonts w:ascii="Times New Roman" w:hAnsi="Times New Roman" w:cs="Times New Roman"/>
          <w:sz w:val="28"/>
        </w:rPr>
        <w:tab/>
        <w:t xml:space="preserve">Micha, R. </w:t>
      </w:r>
      <w:r w:rsidRPr="009C0D3D">
        <w:rPr>
          <w:rFonts w:ascii="Times New Roman" w:hAnsi="Times New Roman" w:cs="Times New Roman"/>
          <w:i/>
          <w:iCs/>
          <w:sz w:val="28"/>
        </w:rPr>
        <w:t>et al.</w:t>
      </w:r>
      <w:r w:rsidRPr="009C0D3D">
        <w:rPr>
          <w:rFonts w:ascii="Times New Roman" w:hAnsi="Times New Roman" w:cs="Times New Roman"/>
          <w:sz w:val="28"/>
        </w:rPr>
        <w:t xml:space="preserve"> Global, regional, and national consumption levels of dietary fats and oils in 1990 and 2010: a systematic analysis including 266 country-specific nutrition surveys. </w:t>
      </w:r>
      <w:r w:rsidRPr="009C0D3D">
        <w:rPr>
          <w:rFonts w:ascii="Times New Roman" w:hAnsi="Times New Roman" w:cs="Times New Roman"/>
          <w:i/>
          <w:iCs/>
          <w:sz w:val="28"/>
        </w:rPr>
        <w:t>BMJ</w:t>
      </w:r>
      <w:r w:rsidRPr="009C0D3D">
        <w:rPr>
          <w:rFonts w:ascii="Times New Roman" w:hAnsi="Times New Roman" w:cs="Times New Roman"/>
          <w:sz w:val="28"/>
        </w:rPr>
        <w:t xml:space="preserve"> </w:t>
      </w:r>
      <w:r w:rsidRPr="009C0D3D">
        <w:rPr>
          <w:rFonts w:ascii="Times New Roman" w:hAnsi="Times New Roman" w:cs="Times New Roman"/>
          <w:b/>
          <w:bCs/>
          <w:sz w:val="28"/>
        </w:rPr>
        <w:t>348</w:t>
      </w:r>
      <w:r w:rsidRPr="009C0D3D">
        <w:rPr>
          <w:rFonts w:ascii="Times New Roman" w:hAnsi="Times New Roman" w:cs="Times New Roman"/>
          <w:sz w:val="28"/>
        </w:rPr>
        <w:t>, g2272 (2014).</w:t>
      </w:r>
    </w:p>
    <w:p w14:paraId="1327B6F9"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23.</w:t>
      </w:r>
      <w:r w:rsidRPr="009C0D3D">
        <w:rPr>
          <w:rFonts w:ascii="Times New Roman" w:hAnsi="Times New Roman" w:cs="Times New Roman"/>
          <w:sz w:val="28"/>
        </w:rPr>
        <w:tab/>
        <w:t xml:space="preserve">Stevens, G. A. </w:t>
      </w:r>
      <w:r w:rsidRPr="009C0D3D">
        <w:rPr>
          <w:rFonts w:ascii="Times New Roman" w:hAnsi="Times New Roman" w:cs="Times New Roman"/>
          <w:i/>
          <w:iCs/>
          <w:sz w:val="28"/>
        </w:rPr>
        <w:t>et al.</w:t>
      </w:r>
      <w:r w:rsidRPr="009C0D3D">
        <w:rPr>
          <w:rFonts w:ascii="Times New Roman" w:hAnsi="Times New Roman" w:cs="Times New Roman"/>
          <w:sz w:val="28"/>
        </w:rPr>
        <w:t xml:space="preserve"> Micronutrient deficiencies among preschool-aged children and women of reproductive age worldwide: a pooled analysis of individual-level data from population-representative surveys. </w:t>
      </w:r>
      <w:r w:rsidRPr="009C0D3D">
        <w:rPr>
          <w:rFonts w:ascii="Times New Roman" w:hAnsi="Times New Roman" w:cs="Times New Roman"/>
          <w:i/>
          <w:iCs/>
          <w:sz w:val="28"/>
        </w:rPr>
        <w:t>The Lancet Global Health</w:t>
      </w:r>
      <w:r w:rsidRPr="009C0D3D">
        <w:rPr>
          <w:rFonts w:ascii="Times New Roman" w:hAnsi="Times New Roman" w:cs="Times New Roman"/>
          <w:sz w:val="28"/>
        </w:rPr>
        <w:t xml:space="preserve"> </w:t>
      </w:r>
      <w:r w:rsidRPr="009C0D3D">
        <w:rPr>
          <w:rFonts w:ascii="Times New Roman" w:hAnsi="Times New Roman" w:cs="Times New Roman"/>
          <w:b/>
          <w:bCs/>
          <w:sz w:val="28"/>
        </w:rPr>
        <w:t>10</w:t>
      </w:r>
      <w:r w:rsidRPr="009C0D3D">
        <w:rPr>
          <w:rFonts w:ascii="Times New Roman" w:hAnsi="Times New Roman" w:cs="Times New Roman"/>
          <w:sz w:val="28"/>
        </w:rPr>
        <w:t>, e1590–e1599 (2022).</w:t>
      </w:r>
    </w:p>
    <w:p w14:paraId="75A33303"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24.</w:t>
      </w:r>
      <w:r w:rsidRPr="009C0D3D">
        <w:rPr>
          <w:rFonts w:ascii="Times New Roman" w:hAnsi="Times New Roman" w:cs="Times New Roman"/>
          <w:sz w:val="28"/>
        </w:rPr>
        <w:tab/>
        <w:t xml:space="preserve">Wu, G. </w:t>
      </w:r>
      <w:r w:rsidRPr="009C0D3D">
        <w:rPr>
          <w:rFonts w:ascii="Times New Roman" w:hAnsi="Times New Roman" w:cs="Times New Roman"/>
          <w:i/>
          <w:iCs/>
          <w:sz w:val="28"/>
        </w:rPr>
        <w:t>et al.</w:t>
      </w:r>
      <w:r w:rsidRPr="009C0D3D">
        <w:rPr>
          <w:rFonts w:ascii="Times New Roman" w:hAnsi="Times New Roman" w:cs="Times New Roman"/>
          <w:sz w:val="28"/>
        </w:rPr>
        <w:t xml:space="preserve"> Production and supply of high-quality food protein for human consumption: sustainability, challenges, and innovations. </w:t>
      </w:r>
      <w:r w:rsidRPr="009C0D3D">
        <w:rPr>
          <w:rFonts w:ascii="Times New Roman" w:hAnsi="Times New Roman" w:cs="Times New Roman"/>
          <w:i/>
          <w:iCs/>
          <w:sz w:val="28"/>
        </w:rPr>
        <w:t>Annals of the New York Academy of Sciences</w:t>
      </w:r>
      <w:r w:rsidRPr="009C0D3D">
        <w:rPr>
          <w:rFonts w:ascii="Times New Roman" w:hAnsi="Times New Roman" w:cs="Times New Roman"/>
          <w:sz w:val="28"/>
        </w:rPr>
        <w:t xml:space="preserve"> </w:t>
      </w:r>
      <w:r w:rsidRPr="009C0D3D">
        <w:rPr>
          <w:rFonts w:ascii="Times New Roman" w:hAnsi="Times New Roman" w:cs="Times New Roman"/>
          <w:b/>
          <w:bCs/>
          <w:sz w:val="28"/>
        </w:rPr>
        <w:t>1321</w:t>
      </w:r>
      <w:r w:rsidRPr="009C0D3D">
        <w:rPr>
          <w:rFonts w:ascii="Times New Roman" w:hAnsi="Times New Roman" w:cs="Times New Roman"/>
          <w:sz w:val="28"/>
        </w:rPr>
        <w:t>, 1–19 (2014).</w:t>
      </w:r>
    </w:p>
    <w:p w14:paraId="10E90203"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25.</w:t>
      </w:r>
      <w:r w:rsidRPr="009C0D3D">
        <w:rPr>
          <w:rFonts w:ascii="Times New Roman" w:hAnsi="Times New Roman" w:cs="Times New Roman"/>
          <w:sz w:val="28"/>
        </w:rPr>
        <w:tab/>
        <w:t xml:space="preserve">Beal, T., Massiot, E., Arsenault, J. E., Smith, M. R. &amp; Hijmans, R. J. Global trends in dietary micronutrient supplies and estimated prevalence of inadequate intakes. </w:t>
      </w:r>
      <w:r w:rsidRPr="009C0D3D">
        <w:rPr>
          <w:rFonts w:ascii="Times New Roman" w:hAnsi="Times New Roman" w:cs="Times New Roman"/>
          <w:i/>
          <w:iCs/>
          <w:sz w:val="28"/>
        </w:rPr>
        <w:t>PLOS ONE</w:t>
      </w:r>
      <w:r w:rsidRPr="009C0D3D">
        <w:rPr>
          <w:rFonts w:ascii="Times New Roman" w:hAnsi="Times New Roman" w:cs="Times New Roman"/>
          <w:sz w:val="28"/>
        </w:rPr>
        <w:t xml:space="preserve"> </w:t>
      </w:r>
      <w:r w:rsidRPr="009C0D3D">
        <w:rPr>
          <w:rFonts w:ascii="Times New Roman" w:hAnsi="Times New Roman" w:cs="Times New Roman"/>
          <w:b/>
          <w:bCs/>
          <w:sz w:val="28"/>
        </w:rPr>
        <w:t>12</w:t>
      </w:r>
      <w:r w:rsidRPr="009C0D3D">
        <w:rPr>
          <w:rFonts w:ascii="Times New Roman" w:hAnsi="Times New Roman" w:cs="Times New Roman"/>
          <w:sz w:val="28"/>
        </w:rPr>
        <w:t>, e0175554 (2017).</w:t>
      </w:r>
    </w:p>
    <w:p w14:paraId="55FEF399"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26.</w:t>
      </w:r>
      <w:r w:rsidRPr="009C0D3D">
        <w:rPr>
          <w:rFonts w:ascii="Times New Roman" w:hAnsi="Times New Roman" w:cs="Times New Roman"/>
          <w:sz w:val="28"/>
        </w:rPr>
        <w:tab/>
        <w:t xml:space="preserve">Passarelli, S. </w:t>
      </w:r>
      <w:r w:rsidRPr="009C0D3D">
        <w:rPr>
          <w:rFonts w:ascii="Times New Roman" w:hAnsi="Times New Roman" w:cs="Times New Roman"/>
          <w:i/>
          <w:iCs/>
          <w:sz w:val="28"/>
        </w:rPr>
        <w:t>et al.</w:t>
      </w:r>
      <w:r w:rsidRPr="009C0D3D">
        <w:rPr>
          <w:rFonts w:ascii="Times New Roman" w:hAnsi="Times New Roman" w:cs="Times New Roman"/>
          <w:sz w:val="28"/>
        </w:rPr>
        <w:t xml:space="preserve"> Estimating national and subnational nutrient intake distributions of global diets. </w:t>
      </w:r>
      <w:r w:rsidRPr="009C0D3D">
        <w:rPr>
          <w:rFonts w:ascii="Times New Roman" w:hAnsi="Times New Roman" w:cs="Times New Roman"/>
          <w:i/>
          <w:iCs/>
          <w:sz w:val="28"/>
        </w:rPr>
        <w:t>The American Journal of Clinical Nutrition</w:t>
      </w:r>
      <w:r w:rsidRPr="009C0D3D">
        <w:rPr>
          <w:rFonts w:ascii="Times New Roman" w:hAnsi="Times New Roman" w:cs="Times New Roman"/>
          <w:sz w:val="28"/>
        </w:rPr>
        <w:t xml:space="preserve"> </w:t>
      </w:r>
      <w:r w:rsidRPr="009C0D3D">
        <w:rPr>
          <w:rFonts w:ascii="Times New Roman" w:hAnsi="Times New Roman" w:cs="Times New Roman"/>
          <w:b/>
          <w:bCs/>
          <w:sz w:val="28"/>
        </w:rPr>
        <w:t>116</w:t>
      </w:r>
      <w:r w:rsidRPr="009C0D3D">
        <w:rPr>
          <w:rFonts w:ascii="Times New Roman" w:hAnsi="Times New Roman" w:cs="Times New Roman"/>
          <w:sz w:val="28"/>
        </w:rPr>
        <w:t>, 551–560 (2022).</w:t>
      </w:r>
    </w:p>
    <w:p w14:paraId="30D40B80"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27.</w:t>
      </w:r>
      <w:r w:rsidRPr="009C0D3D">
        <w:rPr>
          <w:rFonts w:ascii="Times New Roman" w:hAnsi="Times New Roman" w:cs="Times New Roman"/>
          <w:sz w:val="28"/>
        </w:rPr>
        <w:tab/>
        <w:t xml:space="preserve">Hall, K. D. </w:t>
      </w:r>
      <w:r w:rsidRPr="009C0D3D">
        <w:rPr>
          <w:rFonts w:ascii="Times New Roman" w:hAnsi="Times New Roman" w:cs="Times New Roman"/>
          <w:i/>
          <w:iCs/>
          <w:sz w:val="28"/>
        </w:rPr>
        <w:t>et al.</w:t>
      </w:r>
      <w:r w:rsidRPr="009C0D3D">
        <w:rPr>
          <w:rFonts w:ascii="Times New Roman" w:hAnsi="Times New Roman" w:cs="Times New Roman"/>
          <w:sz w:val="28"/>
        </w:rPr>
        <w:t xml:space="preserve"> The energy balance model of obesity: beyond calories in, calories out. </w:t>
      </w:r>
      <w:r w:rsidRPr="009C0D3D">
        <w:rPr>
          <w:rFonts w:ascii="Times New Roman" w:hAnsi="Times New Roman" w:cs="Times New Roman"/>
          <w:i/>
          <w:iCs/>
          <w:sz w:val="28"/>
        </w:rPr>
        <w:t>The American Journal of Clinical Nutrition</w:t>
      </w:r>
      <w:r w:rsidRPr="009C0D3D">
        <w:rPr>
          <w:rFonts w:ascii="Times New Roman" w:hAnsi="Times New Roman" w:cs="Times New Roman"/>
          <w:sz w:val="28"/>
        </w:rPr>
        <w:t xml:space="preserve"> </w:t>
      </w:r>
      <w:r w:rsidRPr="009C0D3D">
        <w:rPr>
          <w:rFonts w:ascii="Times New Roman" w:hAnsi="Times New Roman" w:cs="Times New Roman"/>
          <w:b/>
          <w:bCs/>
          <w:sz w:val="28"/>
        </w:rPr>
        <w:t>115</w:t>
      </w:r>
      <w:r w:rsidRPr="009C0D3D">
        <w:rPr>
          <w:rFonts w:ascii="Times New Roman" w:hAnsi="Times New Roman" w:cs="Times New Roman"/>
          <w:sz w:val="28"/>
        </w:rPr>
        <w:t>, 1243–1254 (2022).</w:t>
      </w:r>
    </w:p>
    <w:p w14:paraId="51C9FBF3"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lastRenderedPageBreak/>
        <w:t>28.</w:t>
      </w:r>
      <w:r w:rsidRPr="009C0D3D">
        <w:rPr>
          <w:rFonts w:ascii="Times New Roman" w:hAnsi="Times New Roman" w:cs="Times New Roman"/>
          <w:sz w:val="28"/>
        </w:rPr>
        <w:tab/>
        <w:t xml:space="preserve">Afshin, A. </w:t>
      </w:r>
      <w:r w:rsidRPr="009C0D3D">
        <w:rPr>
          <w:rFonts w:ascii="Times New Roman" w:hAnsi="Times New Roman" w:cs="Times New Roman"/>
          <w:i/>
          <w:iCs/>
          <w:sz w:val="28"/>
        </w:rPr>
        <w:t>et al.</w:t>
      </w:r>
      <w:r w:rsidRPr="009C0D3D">
        <w:rPr>
          <w:rFonts w:ascii="Times New Roman" w:hAnsi="Times New Roman" w:cs="Times New Roman"/>
          <w:sz w:val="28"/>
        </w:rPr>
        <w:t xml:space="preserve"> Health effects of dietary risks in 195 countries, 1990–2017: a systematic analysis for the Global Burden of Disease Study 2017. </w:t>
      </w:r>
      <w:r w:rsidRPr="009C0D3D">
        <w:rPr>
          <w:rFonts w:ascii="Times New Roman" w:hAnsi="Times New Roman" w:cs="Times New Roman"/>
          <w:i/>
          <w:iCs/>
          <w:sz w:val="28"/>
        </w:rPr>
        <w:t>The Lancet</w:t>
      </w:r>
      <w:r w:rsidRPr="009C0D3D">
        <w:rPr>
          <w:rFonts w:ascii="Times New Roman" w:hAnsi="Times New Roman" w:cs="Times New Roman"/>
          <w:sz w:val="28"/>
        </w:rPr>
        <w:t xml:space="preserve"> </w:t>
      </w:r>
      <w:r w:rsidRPr="009C0D3D">
        <w:rPr>
          <w:rFonts w:ascii="Times New Roman" w:hAnsi="Times New Roman" w:cs="Times New Roman"/>
          <w:b/>
          <w:bCs/>
          <w:sz w:val="28"/>
        </w:rPr>
        <w:t>0</w:t>
      </w:r>
      <w:r w:rsidRPr="009C0D3D">
        <w:rPr>
          <w:rFonts w:ascii="Times New Roman" w:hAnsi="Times New Roman" w:cs="Times New Roman"/>
          <w:sz w:val="28"/>
        </w:rPr>
        <w:t>, (2019).</w:t>
      </w:r>
    </w:p>
    <w:p w14:paraId="4CD379EF"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29.</w:t>
      </w:r>
      <w:r w:rsidRPr="009C0D3D">
        <w:rPr>
          <w:rFonts w:ascii="Times New Roman" w:hAnsi="Times New Roman" w:cs="Times New Roman"/>
          <w:sz w:val="28"/>
        </w:rPr>
        <w:tab/>
        <w:t xml:space="preserve">Hess, J. M. </w:t>
      </w:r>
      <w:r w:rsidRPr="009C0D3D">
        <w:rPr>
          <w:rFonts w:ascii="Times New Roman" w:hAnsi="Times New Roman" w:cs="Times New Roman"/>
          <w:i/>
          <w:iCs/>
          <w:sz w:val="28"/>
        </w:rPr>
        <w:t>et al.</w:t>
      </w:r>
      <w:r w:rsidRPr="009C0D3D">
        <w:rPr>
          <w:rFonts w:ascii="Times New Roman" w:hAnsi="Times New Roman" w:cs="Times New Roman"/>
          <w:sz w:val="28"/>
        </w:rPr>
        <w:t xml:space="preserve"> Dietary Guidelines Meet NOVA: Developing a Menu for A Healthy Dietary Pattern Using Ultra-Processed Foods. </w:t>
      </w:r>
      <w:r w:rsidRPr="009C0D3D">
        <w:rPr>
          <w:rFonts w:ascii="Times New Roman" w:hAnsi="Times New Roman" w:cs="Times New Roman"/>
          <w:i/>
          <w:iCs/>
          <w:sz w:val="28"/>
        </w:rPr>
        <w:t>The Journal of Nutrition</w:t>
      </w:r>
      <w:r w:rsidRPr="009C0D3D">
        <w:rPr>
          <w:rFonts w:ascii="Times New Roman" w:hAnsi="Times New Roman" w:cs="Times New Roman"/>
          <w:sz w:val="28"/>
        </w:rPr>
        <w:t xml:space="preserve"> </w:t>
      </w:r>
      <w:r w:rsidRPr="009C0D3D">
        <w:rPr>
          <w:rFonts w:ascii="Times New Roman" w:hAnsi="Times New Roman" w:cs="Times New Roman"/>
          <w:b/>
          <w:bCs/>
          <w:sz w:val="28"/>
        </w:rPr>
        <w:t>153</w:t>
      </w:r>
      <w:r w:rsidRPr="009C0D3D">
        <w:rPr>
          <w:rFonts w:ascii="Times New Roman" w:hAnsi="Times New Roman" w:cs="Times New Roman"/>
          <w:sz w:val="28"/>
        </w:rPr>
        <w:t>, 2472–2481 (2023).</w:t>
      </w:r>
    </w:p>
    <w:p w14:paraId="67F9ABCD"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30.</w:t>
      </w:r>
      <w:r w:rsidRPr="009C0D3D">
        <w:rPr>
          <w:rFonts w:ascii="Times New Roman" w:hAnsi="Times New Roman" w:cs="Times New Roman"/>
          <w:sz w:val="28"/>
        </w:rPr>
        <w:tab/>
        <w:t xml:space="preserve">Hall, K. D. </w:t>
      </w:r>
      <w:r w:rsidRPr="009C0D3D">
        <w:rPr>
          <w:rFonts w:ascii="Times New Roman" w:hAnsi="Times New Roman" w:cs="Times New Roman"/>
          <w:i/>
          <w:iCs/>
          <w:sz w:val="28"/>
        </w:rPr>
        <w:t>et al.</w:t>
      </w:r>
      <w:r w:rsidRPr="009C0D3D">
        <w:rPr>
          <w:rFonts w:ascii="Times New Roman" w:hAnsi="Times New Roman" w:cs="Times New Roman"/>
          <w:sz w:val="28"/>
        </w:rPr>
        <w:t xml:space="preserve"> Ultra-Processed Diets Cause Excess Calorie Intake and Weight Gain: An Inpatient Randomized Controlled Trial of Ad Libitum Food Intake. </w:t>
      </w:r>
      <w:r w:rsidRPr="009C0D3D">
        <w:rPr>
          <w:rFonts w:ascii="Times New Roman" w:hAnsi="Times New Roman" w:cs="Times New Roman"/>
          <w:i/>
          <w:iCs/>
          <w:sz w:val="28"/>
        </w:rPr>
        <w:t>Cell Metabolism</w:t>
      </w:r>
      <w:r w:rsidRPr="009C0D3D">
        <w:rPr>
          <w:rFonts w:ascii="Times New Roman" w:hAnsi="Times New Roman" w:cs="Times New Roman"/>
          <w:sz w:val="28"/>
        </w:rPr>
        <w:t xml:space="preserve"> </w:t>
      </w:r>
      <w:r w:rsidRPr="009C0D3D">
        <w:rPr>
          <w:rFonts w:ascii="Times New Roman" w:hAnsi="Times New Roman" w:cs="Times New Roman"/>
          <w:b/>
          <w:bCs/>
          <w:sz w:val="28"/>
        </w:rPr>
        <w:t>30</w:t>
      </w:r>
      <w:r w:rsidRPr="009C0D3D">
        <w:rPr>
          <w:rFonts w:ascii="Times New Roman" w:hAnsi="Times New Roman" w:cs="Times New Roman"/>
          <w:sz w:val="28"/>
        </w:rPr>
        <w:t>, 67-77.e3 (2019).</w:t>
      </w:r>
    </w:p>
    <w:p w14:paraId="7040B97A"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31.</w:t>
      </w:r>
      <w:r w:rsidRPr="009C0D3D">
        <w:rPr>
          <w:rFonts w:ascii="Times New Roman" w:hAnsi="Times New Roman" w:cs="Times New Roman"/>
          <w:sz w:val="28"/>
        </w:rPr>
        <w:tab/>
        <w:t xml:space="preserve">Miller, P. E., Reedy, J., Kirkpatrick, S. I. &amp; Krebs-Smith, S. M. The United States Food Supply Is Not Consistent with Dietary Guidance: Evidence from an Evaluation Using the Healthy Eating Index-2010. </w:t>
      </w:r>
      <w:r w:rsidRPr="009C0D3D">
        <w:rPr>
          <w:rFonts w:ascii="Times New Roman" w:hAnsi="Times New Roman" w:cs="Times New Roman"/>
          <w:i/>
          <w:iCs/>
          <w:sz w:val="28"/>
        </w:rPr>
        <w:t>Journal of the Academy of Nutrition and Dietetics</w:t>
      </w:r>
      <w:r w:rsidRPr="009C0D3D">
        <w:rPr>
          <w:rFonts w:ascii="Times New Roman" w:hAnsi="Times New Roman" w:cs="Times New Roman"/>
          <w:sz w:val="28"/>
        </w:rPr>
        <w:t xml:space="preserve"> </w:t>
      </w:r>
      <w:r w:rsidRPr="009C0D3D">
        <w:rPr>
          <w:rFonts w:ascii="Times New Roman" w:hAnsi="Times New Roman" w:cs="Times New Roman"/>
          <w:b/>
          <w:bCs/>
          <w:sz w:val="28"/>
        </w:rPr>
        <w:t>115</w:t>
      </w:r>
      <w:r w:rsidRPr="009C0D3D">
        <w:rPr>
          <w:rFonts w:ascii="Times New Roman" w:hAnsi="Times New Roman" w:cs="Times New Roman"/>
          <w:sz w:val="28"/>
        </w:rPr>
        <w:t>, 95–100 (2015).</w:t>
      </w:r>
    </w:p>
    <w:p w14:paraId="7E186DA2"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32.</w:t>
      </w:r>
      <w:r w:rsidRPr="009C0D3D">
        <w:rPr>
          <w:rFonts w:ascii="Times New Roman" w:hAnsi="Times New Roman" w:cs="Times New Roman"/>
          <w:sz w:val="28"/>
        </w:rPr>
        <w:tab/>
        <w:t xml:space="preserve">Inoue, Y., Qin, B., Poti, J., Sokol, R. &amp; Gordon-Larsen, P. Epidemiology of Obesity in Adults: Latest Trends. </w:t>
      </w:r>
      <w:r w:rsidRPr="009C0D3D">
        <w:rPr>
          <w:rFonts w:ascii="Times New Roman" w:hAnsi="Times New Roman" w:cs="Times New Roman"/>
          <w:i/>
          <w:iCs/>
          <w:sz w:val="28"/>
        </w:rPr>
        <w:t>Curr Obes Rep</w:t>
      </w:r>
      <w:r w:rsidRPr="009C0D3D">
        <w:rPr>
          <w:rFonts w:ascii="Times New Roman" w:hAnsi="Times New Roman" w:cs="Times New Roman"/>
          <w:sz w:val="28"/>
        </w:rPr>
        <w:t xml:space="preserve"> </w:t>
      </w:r>
      <w:r w:rsidRPr="009C0D3D">
        <w:rPr>
          <w:rFonts w:ascii="Times New Roman" w:hAnsi="Times New Roman" w:cs="Times New Roman"/>
          <w:b/>
          <w:bCs/>
          <w:sz w:val="28"/>
        </w:rPr>
        <w:t>7</w:t>
      </w:r>
      <w:r w:rsidRPr="009C0D3D">
        <w:rPr>
          <w:rFonts w:ascii="Times New Roman" w:hAnsi="Times New Roman" w:cs="Times New Roman"/>
          <w:sz w:val="28"/>
        </w:rPr>
        <w:t>, 276–288 (2018).</w:t>
      </w:r>
    </w:p>
    <w:p w14:paraId="0A32EAD9"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33.</w:t>
      </w:r>
      <w:r w:rsidRPr="009C0D3D">
        <w:rPr>
          <w:rFonts w:ascii="Times New Roman" w:hAnsi="Times New Roman" w:cs="Times New Roman"/>
          <w:sz w:val="28"/>
        </w:rPr>
        <w:tab/>
        <w:t xml:space="preserve">Barrett, E. M. </w:t>
      </w:r>
      <w:r w:rsidRPr="009C0D3D">
        <w:rPr>
          <w:rFonts w:ascii="Times New Roman" w:hAnsi="Times New Roman" w:cs="Times New Roman"/>
          <w:i/>
          <w:iCs/>
          <w:sz w:val="28"/>
        </w:rPr>
        <w:t>et al.</w:t>
      </w:r>
      <w:r w:rsidRPr="009C0D3D">
        <w:rPr>
          <w:rFonts w:ascii="Times New Roman" w:hAnsi="Times New Roman" w:cs="Times New Roman"/>
          <w:sz w:val="28"/>
        </w:rPr>
        <w:t xml:space="preserve"> Criterion validation of nutrient profiling systems: a systematic review and meta-analysis. </w:t>
      </w:r>
      <w:r w:rsidRPr="009C0D3D">
        <w:rPr>
          <w:rFonts w:ascii="Times New Roman" w:hAnsi="Times New Roman" w:cs="Times New Roman"/>
          <w:i/>
          <w:iCs/>
          <w:sz w:val="28"/>
        </w:rPr>
        <w:t>The American Journal of Clinical Nutrition</w:t>
      </w:r>
      <w:r w:rsidRPr="009C0D3D">
        <w:rPr>
          <w:rFonts w:ascii="Times New Roman" w:hAnsi="Times New Roman" w:cs="Times New Roman"/>
          <w:sz w:val="28"/>
        </w:rPr>
        <w:t xml:space="preserve"> </w:t>
      </w:r>
      <w:r w:rsidRPr="009C0D3D">
        <w:rPr>
          <w:rFonts w:ascii="Times New Roman" w:hAnsi="Times New Roman" w:cs="Times New Roman"/>
          <w:b/>
          <w:bCs/>
          <w:sz w:val="28"/>
        </w:rPr>
        <w:t>119</w:t>
      </w:r>
      <w:r w:rsidRPr="009C0D3D">
        <w:rPr>
          <w:rFonts w:ascii="Times New Roman" w:hAnsi="Times New Roman" w:cs="Times New Roman"/>
          <w:sz w:val="28"/>
        </w:rPr>
        <w:t>, 145–163 (2024).</w:t>
      </w:r>
    </w:p>
    <w:p w14:paraId="5E683835"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34.</w:t>
      </w:r>
      <w:r w:rsidRPr="009C0D3D">
        <w:rPr>
          <w:rFonts w:ascii="Times New Roman" w:hAnsi="Times New Roman" w:cs="Times New Roman"/>
          <w:sz w:val="28"/>
        </w:rPr>
        <w:tab/>
        <w:t xml:space="preserve">Brown, A. W. </w:t>
      </w:r>
      <w:r w:rsidRPr="009C0D3D">
        <w:rPr>
          <w:rFonts w:ascii="Times New Roman" w:hAnsi="Times New Roman" w:cs="Times New Roman"/>
          <w:i/>
          <w:iCs/>
          <w:sz w:val="28"/>
        </w:rPr>
        <w:t>et al.</w:t>
      </w:r>
      <w:r w:rsidRPr="009C0D3D">
        <w:rPr>
          <w:rFonts w:ascii="Times New Roman" w:hAnsi="Times New Roman" w:cs="Times New Roman"/>
          <w:sz w:val="28"/>
        </w:rPr>
        <w:t xml:space="preserve"> Toward more rigorous and informative nutritional epidemiology: The rational space between dismissal and defense of the status quo. </w:t>
      </w:r>
      <w:r w:rsidRPr="009C0D3D">
        <w:rPr>
          <w:rFonts w:ascii="Times New Roman" w:hAnsi="Times New Roman" w:cs="Times New Roman"/>
          <w:i/>
          <w:iCs/>
          <w:sz w:val="28"/>
        </w:rPr>
        <w:t>Critical Reviews in Food Science and Nutrition</w:t>
      </w:r>
      <w:r w:rsidRPr="009C0D3D">
        <w:rPr>
          <w:rFonts w:ascii="Times New Roman" w:hAnsi="Times New Roman" w:cs="Times New Roman"/>
          <w:sz w:val="28"/>
        </w:rPr>
        <w:t xml:space="preserve"> </w:t>
      </w:r>
      <w:r w:rsidRPr="009C0D3D">
        <w:rPr>
          <w:rFonts w:ascii="Times New Roman" w:hAnsi="Times New Roman" w:cs="Times New Roman"/>
          <w:b/>
          <w:bCs/>
          <w:sz w:val="28"/>
        </w:rPr>
        <w:t>63</w:t>
      </w:r>
      <w:r w:rsidRPr="009C0D3D">
        <w:rPr>
          <w:rFonts w:ascii="Times New Roman" w:hAnsi="Times New Roman" w:cs="Times New Roman"/>
          <w:sz w:val="28"/>
        </w:rPr>
        <w:t>, 3150–3167 (2023).</w:t>
      </w:r>
    </w:p>
    <w:p w14:paraId="5F413DFE"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lastRenderedPageBreak/>
        <w:t>35.</w:t>
      </w:r>
      <w:r w:rsidRPr="009C0D3D">
        <w:rPr>
          <w:rFonts w:ascii="Times New Roman" w:hAnsi="Times New Roman" w:cs="Times New Roman"/>
          <w:sz w:val="28"/>
        </w:rPr>
        <w:tab/>
        <w:t xml:space="preserve">Wang, X. </w:t>
      </w:r>
      <w:r w:rsidRPr="009C0D3D">
        <w:rPr>
          <w:rFonts w:ascii="Times New Roman" w:hAnsi="Times New Roman" w:cs="Times New Roman"/>
          <w:i/>
          <w:iCs/>
          <w:sz w:val="28"/>
        </w:rPr>
        <w:t>et al.</w:t>
      </w:r>
      <w:r w:rsidRPr="009C0D3D">
        <w:rPr>
          <w:rFonts w:ascii="Times New Roman" w:hAnsi="Times New Roman" w:cs="Times New Roman"/>
          <w:sz w:val="28"/>
        </w:rPr>
        <w:t xml:space="preserve"> Global food nutrients analysis reveals alarming gaps and daunting challenges. </w:t>
      </w:r>
      <w:r w:rsidRPr="009C0D3D">
        <w:rPr>
          <w:rFonts w:ascii="Times New Roman" w:hAnsi="Times New Roman" w:cs="Times New Roman"/>
          <w:i/>
          <w:iCs/>
          <w:sz w:val="28"/>
        </w:rPr>
        <w:t>Nat Food</w:t>
      </w:r>
      <w:r w:rsidRPr="009C0D3D">
        <w:rPr>
          <w:rFonts w:ascii="Times New Roman" w:hAnsi="Times New Roman" w:cs="Times New Roman"/>
          <w:sz w:val="28"/>
        </w:rPr>
        <w:t xml:space="preserve"> 1–11 (2023) doi:10.1038/s43016-023-00851-5.</w:t>
      </w:r>
    </w:p>
    <w:p w14:paraId="64F412F6"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36.</w:t>
      </w:r>
      <w:r w:rsidRPr="009C0D3D">
        <w:rPr>
          <w:rFonts w:ascii="Times New Roman" w:hAnsi="Times New Roman" w:cs="Times New Roman"/>
          <w:sz w:val="28"/>
        </w:rPr>
        <w:tab/>
        <w:t xml:space="preserve">European Food Safety Authority (EFSA). </w:t>
      </w:r>
      <w:r w:rsidRPr="009C0D3D">
        <w:rPr>
          <w:rFonts w:ascii="Times New Roman" w:hAnsi="Times New Roman" w:cs="Times New Roman"/>
          <w:i/>
          <w:iCs/>
          <w:sz w:val="28"/>
        </w:rPr>
        <w:t>Dietary Reference Values for Nutrients Summary Report</w:t>
      </w:r>
      <w:r w:rsidRPr="009C0D3D">
        <w:rPr>
          <w:rFonts w:ascii="Times New Roman" w:hAnsi="Times New Roman" w:cs="Times New Roman"/>
          <w:sz w:val="28"/>
        </w:rPr>
        <w:t>. https://www.efsa.europa.eu/en/supporting/pub/e15121 (2017).</w:t>
      </w:r>
    </w:p>
    <w:p w14:paraId="02885178"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37.</w:t>
      </w:r>
      <w:r w:rsidRPr="009C0D3D">
        <w:rPr>
          <w:rFonts w:ascii="Times New Roman" w:hAnsi="Times New Roman" w:cs="Times New Roman"/>
          <w:sz w:val="28"/>
        </w:rPr>
        <w:tab/>
        <w:t xml:space="preserve">Hall, K. D. </w:t>
      </w:r>
      <w:r w:rsidRPr="009C0D3D">
        <w:rPr>
          <w:rFonts w:ascii="Times New Roman" w:hAnsi="Times New Roman" w:cs="Times New Roman"/>
          <w:i/>
          <w:iCs/>
          <w:sz w:val="28"/>
        </w:rPr>
        <w:t>et al.</w:t>
      </w:r>
      <w:r w:rsidRPr="009C0D3D">
        <w:rPr>
          <w:rFonts w:ascii="Times New Roman" w:hAnsi="Times New Roman" w:cs="Times New Roman"/>
          <w:sz w:val="28"/>
        </w:rPr>
        <w:t xml:space="preserve"> Effect of a plant-based, low-fat diet versus an animal-based, ketogenic diet on ad libitum energy intake. </w:t>
      </w:r>
      <w:r w:rsidRPr="009C0D3D">
        <w:rPr>
          <w:rFonts w:ascii="Times New Roman" w:hAnsi="Times New Roman" w:cs="Times New Roman"/>
          <w:i/>
          <w:iCs/>
          <w:sz w:val="28"/>
        </w:rPr>
        <w:t>Nat Med</w:t>
      </w:r>
      <w:r w:rsidRPr="009C0D3D">
        <w:rPr>
          <w:rFonts w:ascii="Times New Roman" w:hAnsi="Times New Roman" w:cs="Times New Roman"/>
          <w:sz w:val="28"/>
        </w:rPr>
        <w:t xml:space="preserve"> </w:t>
      </w:r>
      <w:r w:rsidRPr="009C0D3D">
        <w:rPr>
          <w:rFonts w:ascii="Times New Roman" w:hAnsi="Times New Roman" w:cs="Times New Roman"/>
          <w:b/>
          <w:bCs/>
          <w:sz w:val="28"/>
        </w:rPr>
        <w:t>27</w:t>
      </w:r>
      <w:r w:rsidRPr="009C0D3D">
        <w:rPr>
          <w:rFonts w:ascii="Times New Roman" w:hAnsi="Times New Roman" w:cs="Times New Roman"/>
          <w:sz w:val="28"/>
        </w:rPr>
        <w:t>, 344–353 (2021).</w:t>
      </w:r>
    </w:p>
    <w:p w14:paraId="42AA23DD"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38.</w:t>
      </w:r>
      <w:r w:rsidRPr="009C0D3D">
        <w:rPr>
          <w:rFonts w:ascii="Times New Roman" w:hAnsi="Times New Roman" w:cs="Times New Roman"/>
          <w:sz w:val="28"/>
        </w:rPr>
        <w:tab/>
        <w:t xml:space="preserve">Beal, T. &amp; Ortenzi, F. Priority Micronutrient Density in Foods. </w:t>
      </w:r>
      <w:r w:rsidRPr="009C0D3D">
        <w:rPr>
          <w:rFonts w:ascii="Times New Roman" w:hAnsi="Times New Roman" w:cs="Times New Roman"/>
          <w:i/>
          <w:iCs/>
          <w:sz w:val="28"/>
        </w:rPr>
        <w:t>Frontiers in Nutrition</w:t>
      </w:r>
      <w:r w:rsidRPr="009C0D3D">
        <w:rPr>
          <w:rFonts w:ascii="Times New Roman" w:hAnsi="Times New Roman" w:cs="Times New Roman"/>
          <w:sz w:val="28"/>
        </w:rPr>
        <w:t xml:space="preserve"> </w:t>
      </w:r>
      <w:r w:rsidRPr="009C0D3D">
        <w:rPr>
          <w:rFonts w:ascii="Times New Roman" w:hAnsi="Times New Roman" w:cs="Times New Roman"/>
          <w:b/>
          <w:bCs/>
          <w:sz w:val="28"/>
        </w:rPr>
        <w:t>9</w:t>
      </w:r>
      <w:r w:rsidRPr="009C0D3D">
        <w:rPr>
          <w:rFonts w:ascii="Times New Roman" w:hAnsi="Times New Roman" w:cs="Times New Roman"/>
          <w:sz w:val="28"/>
        </w:rPr>
        <w:t>, (2022).</w:t>
      </w:r>
    </w:p>
    <w:p w14:paraId="142EA2C4"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39.</w:t>
      </w:r>
      <w:r w:rsidRPr="009C0D3D">
        <w:rPr>
          <w:rFonts w:ascii="Times New Roman" w:hAnsi="Times New Roman" w:cs="Times New Roman"/>
          <w:sz w:val="28"/>
        </w:rPr>
        <w:tab/>
        <w:t xml:space="preserve">Mente, A. </w:t>
      </w:r>
      <w:r w:rsidRPr="009C0D3D">
        <w:rPr>
          <w:rFonts w:ascii="Times New Roman" w:hAnsi="Times New Roman" w:cs="Times New Roman"/>
          <w:i/>
          <w:iCs/>
          <w:sz w:val="28"/>
        </w:rPr>
        <w:t>et al.</w:t>
      </w:r>
      <w:r w:rsidRPr="009C0D3D">
        <w:rPr>
          <w:rFonts w:ascii="Times New Roman" w:hAnsi="Times New Roman" w:cs="Times New Roman"/>
          <w:sz w:val="28"/>
        </w:rPr>
        <w:t xml:space="preserve"> Diet, cardiovascular disease, and mortality in 80 countries. </w:t>
      </w:r>
      <w:r w:rsidRPr="009C0D3D">
        <w:rPr>
          <w:rFonts w:ascii="Times New Roman" w:hAnsi="Times New Roman" w:cs="Times New Roman"/>
          <w:i/>
          <w:iCs/>
          <w:sz w:val="28"/>
        </w:rPr>
        <w:t>European Heart Journal</w:t>
      </w:r>
      <w:r w:rsidRPr="009C0D3D">
        <w:rPr>
          <w:rFonts w:ascii="Times New Roman" w:hAnsi="Times New Roman" w:cs="Times New Roman"/>
          <w:sz w:val="28"/>
        </w:rPr>
        <w:t xml:space="preserve"> </w:t>
      </w:r>
      <w:r w:rsidRPr="009C0D3D">
        <w:rPr>
          <w:rFonts w:ascii="Times New Roman" w:hAnsi="Times New Roman" w:cs="Times New Roman"/>
          <w:b/>
          <w:bCs/>
          <w:sz w:val="28"/>
        </w:rPr>
        <w:t>44</w:t>
      </w:r>
      <w:r w:rsidRPr="009C0D3D">
        <w:rPr>
          <w:rFonts w:ascii="Times New Roman" w:hAnsi="Times New Roman" w:cs="Times New Roman"/>
          <w:sz w:val="28"/>
        </w:rPr>
        <w:t>, 2560–2579 (2023).</w:t>
      </w:r>
    </w:p>
    <w:p w14:paraId="5C26FCA3"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40.</w:t>
      </w:r>
      <w:r w:rsidRPr="009C0D3D">
        <w:rPr>
          <w:rFonts w:ascii="Times New Roman" w:hAnsi="Times New Roman" w:cs="Times New Roman"/>
          <w:sz w:val="28"/>
        </w:rPr>
        <w:tab/>
        <w:t xml:space="preserve">FAO/IZiNCG. </w:t>
      </w:r>
      <w:r w:rsidRPr="009C0D3D">
        <w:rPr>
          <w:rFonts w:ascii="Times New Roman" w:hAnsi="Times New Roman" w:cs="Times New Roman"/>
          <w:i/>
          <w:iCs/>
          <w:sz w:val="28"/>
        </w:rPr>
        <w:t>FAO/INFOODS/IZiNCG Global Food Composition Database for Phytate Version 1.0 - PhyFoodComp 1.0</w:t>
      </w:r>
      <w:r w:rsidRPr="009C0D3D">
        <w:rPr>
          <w:rFonts w:ascii="Times New Roman" w:hAnsi="Times New Roman" w:cs="Times New Roman"/>
          <w:sz w:val="28"/>
        </w:rPr>
        <w:t>. (Rome, Italy., 2018).</w:t>
      </w:r>
    </w:p>
    <w:p w14:paraId="5EB6E556"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41.</w:t>
      </w:r>
      <w:r w:rsidRPr="009C0D3D">
        <w:rPr>
          <w:rFonts w:ascii="Times New Roman" w:hAnsi="Times New Roman" w:cs="Times New Roman"/>
          <w:sz w:val="28"/>
        </w:rPr>
        <w:tab/>
        <w:t>U.S. DEPARTMENT OF AGRICULTURE (USDA), Agricultural Research Service. USDA FoodData Central. https://fdc.nal.usda.gov/.</w:t>
      </w:r>
    </w:p>
    <w:p w14:paraId="2988F234"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t>42.</w:t>
      </w:r>
      <w:r w:rsidRPr="009C0D3D">
        <w:rPr>
          <w:rFonts w:ascii="Times New Roman" w:hAnsi="Times New Roman" w:cs="Times New Roman"/>
          <w:sz w:val="28"/>
        </w:rPr>
        <w:tab/>
        <w:t>FAO. INFOODS: FAO/INFOODS Databases. http://www.fao.org/infoods/infoods/tables-and-databases/faoinfoods-databases/en/.</w:t>
      </w:r>
    </w:p>
    <w:p w14:paraId="05C08631" w14:textId="77777777" w:rsidR="009C0D3D" w:rsidRPr="009C0D3D" w:rsidRDefault="009C0D3D" w:rsidP="009C0D3D">
      <w:pPr>
        <w:pStyle w:val="Bibliography"/>
        <w:rPr>
          <w:rFonts w:ascii="Times New Roman" w:hAnsi="Times New Roman" w:cs="Times New Roman"/>
          <w:sz w:val="28"/>
        </w:rPr>
      </w:pPr>
      <w:r w:rsidRPr="009C0D3D">
        <w:rPr>
          <w:rFonts w:ascii="Times New Roman" w:hAnsi="Times New Roman" w:cs="Times New Roman"/>
          <w:sz w:val="28"/>
        </w:rPr>
        <w:lastRenderedPageBreak/>
        <w:t>43.</w:t>
      </w:r>
      <w:r w:rsidRPr="009C0D3D">
        <w:rPr>
          <w:rFonts w:ascii="Times New Roman" w:hAnsi="Times New Roman" w:cs="Times New Roman"/>
          <w:sz w:val="28"/>
        </w:rPr>
        <w:tab/>
        <w:t xml:space="preserve">Allen, L. H., Carriquiry, A. L. &amp; Murphy, S. P. Perspective: Proposed Harmonized Nutrient Reference Values for Populations. </w:t>
      </w:r>
      <w:r w:rsidRPr="009C0D3D">
        <w:rPr>
          <w:rFonts w:ascii="Times New Roman" w:hAnsi="Times New Roman" w:cs="Times New Roman"/>
          <w:i/>
          <w:iCs/>
          <w:sz w:val="28"/>
        </w:rPr>
        <w:t>Adv Nutr</w:t>
      </w:r>
      <w:r w:rsidRPr="009C0D3D">
        <w:rPr>
          <w:rFonts w:ascii="Times New Roman" w:hAnsi="Times New Roman" w:cs="Times New Roman"/>
          <w:sz w:val="28"/>
        </w:rPr>
        <w:t xml:space="preserve"> </w:t>
      </w:r>
      <w:r w:rsidRPr="009C0D3D">
        <w:rPr>
          <w:rFonts w:ascii="Times New Roman" w:hAnsi="Times New Roman" w:cs="Times New Roman"/>
          <w:b/>
          <w:bCs/>
          <w:sz w:val="28"/>
        </w:rPr>
        <w:t>11</w:t>
      </w:r>
      <w:r w:rsidRPr="009C0D3D">
        <w:rPr>
          <w:rFonts w:ascii="Times New Roman" w:hAnsi="Times New Roman" w:cs="Times New Roman"/>
          <w:sz w:val="28"/>
        </w:rPr>
        <w:t>, 469–483 (2020).</w:t>
      </w:r>
    </w:p>
    <w:p w14:paraId="2EE980F0" w14:textId="0B12EC00" w:rsidR="00C05F6D" w:rsidRDefault="00E03017" w:rsidP="00A17AAB">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fldChar w:fldCharType="end"/>
      </w:r>
    </w:p>
    <w:p w14:paraId="516BF234" w14:textId="4DDB8362" w:rsidR="007B1E83" w:rsidRPr="00F549CC" w:rsidRDefault="007B1E83" w:rsidP="00B674AE">
      <w:pPr>
        <w:spacing w:line="480" w:lineRule="auto"/>
        <w:rPr>
          <w:rFonts w:ascii="Times New Roman" w:hAnsi="Times New Roman" w:cs="Times New Roman"/>
          <w:b/>
          <w:bCs/>
          <w:sz w:val="28"/>
          <w:szCs w:val="28"/>
        </w:rPr>
      </w:pPr>
      <w:r w:rsidRPr="00F549CC">
        <w:rPr>
          <w:rFonts w:ascii="Times New Roman" w:hAnsi="Times New Roman" w:cs="Times New Roman"/>
          <w:b/>
          <w:bCs/>
          <w:sz w:val="28"/>
          <w:szCs w:val="28"/>
        </w:rPr>
        <w:t>Tables</w:t>
      </w:r>
    </w:p>
    <w:p w14:paraId="31039B3E" w14:textId="2E6C8333" w:rsidR="007B1E83" w:rsidRPr="00B674AE" w:rsidRDefault="007B1E83" w:rsidP="00B674AE">
      <w:pPr>
        <w:spacing w:line="480" w:lineRule="auto"/>
        <w:rPr>
          <w:rFonts w:ascii="Times New Roman" w:hAnsi="Times New Roman" w:cs="Times New Roman"/>
          <w:b/>
          <w:bCs/>
        </w:rPr>
      </w:pPr>
      <w:r w:rsidRPr="00F549CC">
        <w:rPr>
          <w:rFonts w:ascii="Times New Roman" w:hAnsi="Times New Roman" w:cs="Times New Roman"/>
          <w:b/>
          <w:bCs/>
        </w:rPr>
        <w:t>Table 1 | Nutritional scores for common Indonesian foods</w:t>
      </w:r>
    </w:p>
    <w:tbl>
      <w:tblPr>
        <w:tblStyle w:val="TableGrid"/>
        <w:tblW w:w="9450"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260"/>
        <w:gridCol w:w="943"/>
        <w:gridCol w:w="947"/>
        <w:gridCol w:w="720"/>
        <w:gridCol w:w="720"/>
        <w:gridCol w:w="720"/>
        <w:gridCol w:w="990"/>
        <w:gridCol w:w="900"/>
        <w:gridCol w:w="990"/>
        <w:gridCol w:w="1260"/>
      </w:tblGrid>
      <w:tr w:rsidR="00497D19" w:rsidRPr="00F549CC" w14:paraId="1A1B406F" w14:textId="77777777" w:rsidTr="006148C7">
        <w:trPr>
          <w:trHeight w:val="320"/>
          <w:tblHeader/>
        </w:trPr>
        <w:tc>
          <w:tcPr>
            <w:tcW w:w="1260" w:type="dxa"/>
            <w:vAlign w:val="bottom"/>
            <w:hideMark/>
          </w:tcPr>
          <w:p w14:paraId="7267692B" w14:textId="77777777" w:rsidR="00E53A7B" w:rsidRPr="00F549CC" w:rsidRDefault="00E53A7B" w:rsidP="007D3B45">
            <w:pPr>
              <w:rPr>
                <w:rFonts w:ascii="Times New Roman" w:hAnsi="Times New Roman" w:cs="Times New Roman"/>
                <w:b/>
                <w:bCs/>
                <w:sz w:val="20"/>
              </w:rPr>
            </w:pPr>
            <w:r w:rsidRPr="00F549CC">
              <w:rPr>
                <w:rFonts w:ascii="Times New Roman" w:hAnsi="Times New Roman" w:cs="Times New Roman"/>
                <w:b/>
                <w:bCs/>
                <w:sz w:val="20"/>
              </w:rPr>
              <w:t>Food</w:t>
            </w:r>
          </w:p>
        </w:tc>
        <w:tc>
          <w:tcPr>
            <w:tcW w:w="943" w:type="dxa"/>
            <w:vAlign w:val="bottom"/>
            <w:hideMark/>
          </w:tcPr>
          <w:p w14:paraId="043A9A0D" w14:textId="77777777" w:rsidR="00E53A7B" w:rsidRPr="00F549CC" w:rsidRDefault="00E53A7B" w:rsidP="007D3B45">
            <w:pPr>
              <w:jc w:val="center"/>
              <w:rPr>
                <w:rFonts w:ascii="Times New Roman" w:hAnsi="Times New Roman" w:cs="Times New Roman"/>
                <w:b/>
                <w:bCs/>
                <w:sz w:val="20"/>
              </w:rPr>
            </w:pPr>
            <w:r w:rsidRPr="00F549CC">
              <w:rPr>
                <w:rFonts w:ascii="Times New Roman" w:hAnsi="Times New Roman" w:cs="Times New Roman"/>
                <w:b/>
                <w:bCs/>
                <w:sz w:val="20"/>
              </w:rPr>
              <w:t>Vitamin score</w:t>
            </w:r>
          </w:p>
        </w:tc>
        <w:tc>
          <w:tcPr>
            <w:tcW w:w="947" w:type="dxa"/>
            <w:vAlign w:val="bottom"/>
            <w:hideMark/>
          </w:tcPr>
          <w:p w14:paraId="573488C3" w14:textId="77777777" w:rsidR="00E53A7B" w:rsidRPr="00F549CC" w:rsidRDefault="00E53A7B" w:rsidP="007D3B45">
            <w:pPr>
              <w:jc w:val="center"/>
              <w:rPr>
                <w:rFonts w:ascii="Times New Roman" w:hAnsi="Times New Roman" w:cs="Times New Roman"/>
                <w:b/>
                <w:bCs/>
                <w:sz w:val="20"/>
              </w:rPr>
            </w:pPr>
            <w:r w:rsidRPr="00F549CC">
              <w:rPr>
                <w:rFonts w:ascii="Times New Roman" w:hAnsi="Times New Roman" w:cs="Times New Roman"/>
                <w:b/>
                <w:bCs/>
                <w:sz w:val="20"/>
              </w:rPr>
              <w:t>Mineral score</w:t>
            </w:r>
          </w:p>
        </w:tc>
        <w:tc>
          <w:tcPr>
            <w:tcW w:w="720" w:type="dxa"/>
            <w:vAlign w:val="bottom"/>
          </w:tcPr>
          <w:p w14:paraId="156F88D8" w14:textId="2DFD2FFF" w:rsidR="00E53A7B" w:rsidRPr="00F549CC" w:rsidRDefault="00A85385" w:rsidP="007D3B45">
            <w:pPr>
              <w:jc w:val="center"/>
              <w:rPr>
                <w:rFonts w:ascii="Times New Roman" w:hAnsi="Times New Roman" w:cs="Times New Roman"/>
                <w:b/>
                <w:bCs/>
                <w:sz w:val="20"/>
              </w:rPr>
            </w:pPr>
            <w:r w:rsidRPr="00A85385">
              <w:rPr>
                <w:rFonts w:ascii="Times New Roman" w:hAnsi="Times New Roman" w:cs="Times New Roman"/>
                <w:b/>
                <w:bCs/>
                <w:sz w:val="20"/>
              </w:rPr>
              <w:t>n-3 fatty acid score</w:t>
            </w:r>
          </w:p>
        </w:tc>
        <w:tc>
          <w:tcPr>
            <w:tcW w:w="720" w:type="dxa"/>
            <w:vAlign w:val="bottom"/>
            <w:hideMark/>
          </w:tcPr>
          <w:p w14:paraId="72E17E70" w14:textId="247C28ED" w:rsidR="00E53A7B" w:rsidRPr="00F549CC" w:rsidRDefault="00A85385" w:rsidP="007D3B45">
            <w:pPr>
              <w:jc w:val="center"/>
              <w:rPr>
                <w:rFonts w:ascii="Times New Roman" w:hAnsi="Times New Roman" w:cs="Times New Roman"/>
                <w:b/>
                <w:bCs/>
                <w:sz w:val="20"/>
              </w:rPr>
            </w:pPr>
            <w:r>
              <w:rPr>
                <w:rFonts w:ascii="Times New Roman" w:hAnsi="Times New Roman" w:cs="Times New Roman"/>
                <w:b/>
                <w:bCs/>
                <w:sz w:val="20"/>
              </w:rPr>
              <w:t>EAA score</w:t>
            </w:r>
          </w:p>
        </w:tc>
        <w:tc>
          <w:tcPr>
            <w:tcW w:w="720" w:type="dxa"/>
            <w:vAlign w:val="bottom"/>
            <w:hideMark/>
          </w:tcPr>
          <w:p w14:paraId="4FBC82D3" w14:textId="77777777" w:rsidR="00E53A7B" w:rsidRPr="00F549CC" w:rsidRDefault="00E53A7B" w:rsidP="007D3B45">
            <w:pPr>
              <w:jc w:val="center"/>
              <w:rPr>
                <w:rFonts w:ascii="Times New Roman" w:hAnsi="Times New Roman" w:cs="Times New Roman"/>
                <w:b/>
                <w:bCs/>
                <w:sz w:val="20"/>
              </w:rPr>
            </w:pPr>
            <w:r w:rsidRPr="00F549CC">
              <w:rPr>
                <w:rFonts w:ascii="Times New Roman" w:hAnsi="Times New Roman" w:cs="Times New Roman"/>
                <w:b/>
                <w:bCs/>
                <w:sz w:val="20"/>
              </w:rPr>
              <w:t>Fiber score</w:t>
            </w:r>
          </w:p>
        </w:tc>
        <w:tc>
          <w:tcPr>
            <w:tcW w:w="990" w:type="dxa"/>
            <w:vAlign w:val="bottom"/>
            <w:hideMark/>
          </w:tcPr>
          <w:p w14:paraId="0DF3C753" w14:textId="77777777" w:rsidR="00E53A7B" w:rsidRPr="00F549CC" w:rsidRDefault="00E53A7B" w:rsidP="007D3B45">
            <w:pPr>
              <w:jc w:val="center"/>
              <w:rPr>
                <w:rFonts w:ascii="Times New Roman" w:hAnsi="Times New Roman" w:cs="Times New Roman"/>
                <w:b/>
                <w:bCs/>
                <w:sz w:val="20"/>
              </w:rPr>
            </w:pPr>
            <w:r w:rsidRPr="00F549CC">
              <w:rPr>
                <w:rFonts w:ascii="Times New Roman" w:hAnsi="Times New Roman" w:cs="Times New Roman"/>
                <w:b/>
                <w:bCs/>
                <w:sz w:val="20"/>
              </w:rPr>
              <w:t>Nutrient ratio score</w:t>
            </w:r>
          </w:p>
        </w:tc>
        <w:tc>
          <w:tcPr>
            <w:tcW w:w="900" w:type="dxa"/>
            <w:vAlign w:val="bottom"/>
          </w:tcPr>
          <w:p w14:paraId="468240B5" w14:textId="4FDE2523" w:rsidR="00E53A7B" w:rsidRPr="00F549CC" w:rsidRDefault="00E53A7B" w:rsidP="007D3B45">
            <w:pPr>
              <w:jc w:val="center"/>
              <w:rPr>
                <w:rFonts w:ascii="Times New Roman" w:hAnsi="Times New Roman" w:cs="Times New Roman"/>
                <w:b/>
                <w:bCs/>
                <w:sz w:val="20"/>
              </w:rPr>
            </w:pPr>
            <w:r>
              <w:rPr>
                <w:rFonts w:ascii="Times New Roman" w:hAnsi="Times New Roman" w:cs="Times New Roman"/>
                <w:b/>
                <w:bCs/>
                <w:sz w:val="20"/>
              </w:rPr>
              <w:t>Calorie score</w:t>
            </w:r>
          </w:p>
        </w:tc>
        <w:tc>
          <w:tcPr>
            <w:tcW w:w="990" w:type="dxa"/>
            <w:vAlign w:val="bottom"/>
            <w:hideMark/>
          </w:tcPr>
          <w:p w14:paraId="5C32797E" w14:textId="0F36DB28" w:rsidR="00E53A7B" w:rsidRPr="00F549CC" w:rsidRDefault="00E53A7B" w:rsidP="007D3B45">
            <w:pPr>
              <w:jc w:val="center"/>
              <w:rPr>
                <w:rFonts w:ascii="Times New Roman" w:hAnsi="Times New Roman" w:cs="Times New Roman"/>
                <w:b/>
                <w:bCs/>
                <w:sz w:val="20"/>
              </w:rPr>
            </w:pPr>
            <w:r w:rsidRPr="00F549CC">
              <w:rPr>
                <w:rFonts w:ascii="Times New Roman" w:hAnsi="Times New Roman" w:cs="Times New Roman"/>
                <w:b/>
                <w:bCs/>
                <w:sz w:val="20"/>
              </w:rPr>
              <w:t>Nutrient Density Score</w:t>
            </w:r>
          </w:p>
        </w:tc>
        <w:tc>
          <w:tcPr>
            <w:tcW w:w="1260" w:type="dxa"/>
            <w:vAlign w:val="bottom"/>
            <w:hideMark/>
          </w:tcPr>
          <w:p w14:paraId="176BB569" w14:textId="77777777" w:rsidR="00E53A7B" w:rsidRPr="00F549CC" w:rsidRDefault="00E53A7B" w:rsidP="007D3B45">
            <w:pPr>
              <w:jc w:val="center"/>
              <w:rPr>
                <w:rFonts w:ascii="Times New Roman" w:hAnsi="Times New Roman" w:cs="Times New Roman"/>
                <w:b/>
                <w:bCs/>
                <w:sz w:val="20"/>
              </w:rPr>
            </w:pPr>
            <w:r w:rsidRPr="00F549CC">
              <w:rPr>
                <w:rFonts w:ascii="Times New Roman" w:hAnsi="Times New Roman" w:cs="Times New Roman"/>
                <w:b/>
                <w:bCs/>
                <w:sz w:val="20"/>
              </w:rPr>
              <w:t>Nutritional Value Score</w:t>
            </w:r>
          </w:p>
        </w:tc>
      </w:tr>
      <w:tr w:rsidR="00470980" w:rsidRPr="00F549CC" w14:paraId="37AB8559" w14:textId="77777777" w:rsidTr="006148C7">
        <w:trPr>
          <w:trHeight w:val="320"/>
        </w:trPr>
        <w:tc>
          <w:tcPr>
            <w:tcW w:w="1260" w:type="dxa"/>
            <w:noWrap/>
            <w:vAlign w:val="center"/>
          </w:tcPr>
          <w:p w14:paraId="22839A26" w14:textId="13187A56"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Spinach</w:t>
            </w:r>
          </w:p>
        </w:tc>
        <w:tc>
          <w:tcPr>
            <w:tcW w:w="943" w:type="dxa"/>
            <w:noWrap/>
            <w:vAlign w:val="center"/>
          </w:tcPr>
          <w:p w14:paraId="2DBD63A5" w14:textId="2D19EE3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75</w:t>
            </w:r>
          </w:p>
        </w:tc>
        <w:tc>
          <w:tcPr>
            <w:tcW w:w="947" w:type="dxa"/>
            <w:noWrap/>
            <w:vAlign w:val="center"/>
          </w:tcPr>
          <w:p w14:paraId="55A4817D" w14:textId="56D3831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90</w:t>
            </w:r>
          </w:p>
        </w:tc>
        <w:tc>
          <w:tcPr>
            <w:tcW w:w="720" w:type="dxa"/>
            <w:vAlign w:val="center"/>
          </w:tcPr>
          <w:p w14:paraId="23087C5E" w14:textId="0B584F5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15</w:t>
            </w:r>
          </w:p>
        </w:tc>
        <w:tc>
          <w:tcPr>
            <w:tcW w:w="720" w:type="dxa"/>
            <w:noWrap/>
            <w:vAlign w:val="center"/>
          </w:tcPr>
          <w:p w14:paraId="1797E177" w14:textId="55E965F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48</w:t>
            </w:r>
          </w:p>
        </w:tc>
        <w:tc>
          <w:tcPr>
            <w:tcW w:w="720" w:type="dxa"/>
            <w:noWrap/>
            <w:vAlign w:val="center"/>
          </w:tcPr>
          <w:p w14:paraId="38B1585D" w14:textId="75FABED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68</w:t>
            </w:r>
          </w:p>
        </w:tc>
        <w:tc>
          <w:tcPr>
            <w:tcW w:w="990" w:type="dxa"/>
            <w:noWrap/>
            <w:vAlign w:val="center"/>
          </w:tcPr>
          <w:p w14:paraId="0697C23A" w14:textId="2F789B8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2D7C69E2" w14:textId="40F30D9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0702E7C4" w14:textId="475C3BC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92</w:t>
            </w:r>
          </w:p>
        </w:tc>
        <w:tc>
          <w:tcPr>
            <w:tcW w:w="1260" w:type="dxa"/>
            <w:noWrap/>
            <w:vAlign w:val="center"/>
          </w:tcPr>
          <w:p w14:paraId="158202A1" w14:textId="386D514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r>
      <w:tr w:rsidR="00470980" w:rsidRPr="00F549CC" w14:paraId="3ABE4A82" w14:textId="77777777" w:rsidTr="006148C7">
        <w:trPr>
          <w:trHeight w:val="320"/>
        </w:trPr>
        <w:tc>
          <w:tcPr>
            <w:tcW w:w="1260" w:type="dxa"/>
            <w:noWrap/>
            <w:vAlign w:val="center"/>
          </w:tcPr>
          <w:p w14:paraId="4A277D46" w14:textId="54D3D56D"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Chicken organs</w:t>
            </w:r>
          </w:p>
        </w:tc>
        <w:tc>
          <w:tcPr>
            <w:tcW w:w="943" w:type="dxa"/>
            <w:noWrap/>
            <w:vAlign w:val="center"/>
          </w:tcPr>
          <w:p w14:paraId="67FDCD61" w14:textId="5DAF9F1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92</w:t>
            </w:r>
          </w:p>
        </w:tc>
        <w:tc>
          <w:tcPr>
            <w:tcW w:w="947" w:type="dxa"/>
            <w:noWrap/>
            <w:vAlign w:val="center"/>
          </w:tcPr>
          <w:p w14:paraId="0EBCF21C" w14:textId="3578510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63</w:t>
            </w:r>
          </w:p>
        </w:tc>
        <w:tc>
          <w:tcPr>
            <w:tcW w:w="720" w:type="dxa"/>
            <w:vAlign w:val="center"/>
          </w:tcPr>
          <w:p w14:paraId="01A0D6EB" w14:textId="63C8B76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720" w:type="dxa"/>
            <w:noWrap/>
            <w:vAlign w:val="center"/>
          </w:tcPr>
          <w:p w14:paraId="1261B86F" w14:textId="262FF58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82</w:t>
            </w:r>
          </w:p>
        </w:tc>
        <w:tc>
          <w:tcPr>
            <w:tcW w:w="720" w:type="dxa"/>
            <w:noWrap/>
            <w:vAlign w:val="center"/>
          </w:tcPr>
          <w:p w14:paraId="49ED439B" w14:textId="18EB2E7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990" w:type="dxa"/>
            <w:noWrap/>
            <w:vAlign w:val="center"/>
          </w:tcPr>
          <w:p w14:paraId="2E476903" w14:textId="1162265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4F8FD1DB" w14:textId="7D66417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-10</w:t>
            </w:r>
          </w:p>
        </w:tc>
        <w:tc>
          <w:tcPr>
            <w:tcW w:w="990" w:type="dxa"/>
            <w:noWrap/>
            <w:vAlign w:val="center"/>
          </w:tcPr>
          <w:p w14:paraId="04947634" w14:textId="56E9FB8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95</w:t>
            </w:r>
          </w:p>
        </w:tc>
        <w:tc>
          <w:tcPr>
            <w:tcW w:w="1260" w:type="dxa"/>
            <w:noWrap/>
            <w:vAlign w:val="center"/>
          </w:tcPr>
          <w:p w14:paraId="4E8761C3" w14:textId="69630B3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91</w:t>
            </w:r>
          </w:p>
        </w:tc>
      </w:tr>
      <w:tr w:rsidR="00470980" w:rsidRPr="00F549CC" w14:paraId="416DFD26" w14:textId="77777777" w:rsidTr="006148C7">
        <w:trPr>
          <w:trHeight w:val="320"/>
        </w:trPr>
        <w:tc>
          <w:tcPr>
            <w:tcW w:w="1260" w:type="dxa"/>
            <w:noWrap/>
            <w:vAlign w:val="center"/>
          </w:tcPr>
          <w:p w14:paraId="313D40CF" w14:textId="17B2E88C"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Pumpkin leaves</w:t>
            </w:r>
          </w:p>
        </w:tc>
        <w:tc>
          <w:tcPr>
            <w:tcW w:w="943" w:type="dxa"/>
            <w:noWrap/>
            <w:vAlign w:val="center"/>
          </w:tcPr>
          <w:p w14:paraId="15EC080A" w14:textId="458FFDF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64</w:t>
            </w:r>
          </w:p>
        </w:tc>
        <w:tc>
          <w:tcPr>
            <w:tcW w:w="947" w:type="dxa"/>
            <w:noWrap/>
            <w:vAlign w:val="center"/>
          </w:tcPr>
          <w:p w14:paraId="1AFD1C03" w14:textId="400F45B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67</w:t>
            </w:r>
          </w:p>
        </w:tc>
        <w:tc>
          <w:tcPr>
            <w:tcW w:w="720" w:type="dxa"/>
            <w:vAlign w:val="center"/>
          </w:tcPr>
          <w:p w14:paraId="7B28514A" w14:textId="24F2A53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w:t>
            </w:r>
          </w:p>
        </w:tc>
        <w:tc>
          <w:tcPr>
            <w:tcW w:w="720" w:type="dxa"/>
            <w:noWrap/>
            <w:vAlign w:val="center"/>
          </w:tcPr>
          <w:p w14:paraId="54C3788C" w14:textId="0BBA2FF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53</w:t>
            </w:r>
          </w:p>
        </w:tc>
        <w:tc>
          <w:tcPr>
            <w:tcW w:w="720" w:type="dxa"/>
            <w:noWrap/>
            <w:vAlign w:val="center"/>
          </w:tcPr>
          <w:p w14:paraId="69F465A7" w14:textId="00CED48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90</w:t>
            </w:r>
          </w:p>
        </w:tc>
        <w:tc>
          <w:tcPr>
            <w:tcW w:w="990" w:type="dxa"/>
            <w:noWrap/>
            <w:vAlign w:val="center"/>
          </w:tcPr>
          <w:p w14:paraId="5FECACDB" w14:textId="19BCD31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100</w:t>
            </w:r>
          </w:p>
        </w:tc>
        <w:tc>
          <w:tcPr>
            <w:tcW w:w="900" w:type="dxa"/>
            <w:vAlign w:val="center"/>
          </w:tcPr>
          <w:p w14:paraId="551400D2" w14:textId="7BFA866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15B02AB3" w14:textId="5502DE1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75</w:t>
            </w:r>
          </w:p>
        </w:tc>
        <w:tc>
          <w:tcPr>
            <w:tcW w:w="1260" w:type="dxa"/>
            <w:noWrap/>
            <w:vAlign w:val="center"/>
          </w:tcPr>
          <w:p w14:paraId="2262C00A" w14:textId="6A100C1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90</w:t>
            </w:r>
          </w:p>
        </w:tc>
      </w:tr>
      <w:tr w:rsidR="00470980" w:rsidRPr="00F549CC" w14:paraId="28ACD8F1" w14:textId="77777777" w:rsidTr="006148C7">
        <w:trPr>
          <w:trHeight w:val="320"/>
        </w:trPr>
        <w:tc>
          <w:tcPr>
            <w:tcW w:w="1260" w:type="dxa"/>
            <w:noWrap/>
            <w:vAlign w:val="center"/>
          </w:tcPr>
          <w:p w14:paraId="33957984" w14:textId="04AC1351"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Water spinach</w:t>
            </w:r>
          </w:p>
        </w:tc>
        <w:tc>
          <w:tcPr>
            <w:tcW w:w="943" w:type="dxa"/>
            <w:noWrap/>
            <w:vAlign w:val="center"/>
          </w:tcPr>
          <w:p w14:paraId="08638736" w14:textId="586DB8C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65</w:t>
            </w:r>
          </w:p>
        </w:tc>
        <w:tc>
          <w:tcPr>
            <w:tcW w:w="947" w:type="dxa"/>
            <w:noWrap/>
            <w:vAlign w:val="center"/>
          </w:tcPr>
          <w:p w14:paraId="6D46D651" w14:textId="0457A16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68</w:t>
            </w:r>
          </w:p>
        </w:tc>
        <w:tc>
          <w:tcPr>
            <w:tcW w:w="720" w:type="dxa"/>
            <w:vAlign w:val="center"/>
          </w:tcPr>
          <w:p w14:paraId="5198C800" w14:textId="30D711A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14</w:t>
            </w:r>
          </w:p>
        </w:tc>
        <w:tc>
          <w:tcPr>
            <w:tcW w:w="720" w:type="dxa"/>
            <w:noWrap/>
            <w:vAlign w:val="center"/>
          </w:tcPr>
          <w:p w14:paraId="6D3D9B76" w14:textId="45CE1B5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44</w:t>
            </w:r>
          </w:p>
        </w:tc>
        <w:tc>
          <w:tcPr>
            <w:tcW w:w="720" w:type="dxa"/>
            <w:noWrap/>
            <w:vAlign w:val="center"/>
          </w:tcPr>
          <w:p w14:paraId="6F81FA8C" w14:textId="0EFB143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67</w:t>
            </w:r>
          </w:p>
        </w:tc>
        <w:tc>
          <w:tcPr>
            <w:tcW w:w="990" w:type="dxa"/>
            <w:noWrap/>
            <w:vAlign w:val="center"/>
          </w:tcPr>
          <w:p w14:paraId="6875B049" w14:textId="5142A23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230DBF7E" w14:textId="0456394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05F8E239" w14:textId="7AE11B9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75</w:t>
            </w:r>
          </w:p>
        </w:tc>
        <w:tc>
          <w:tcPr>
            <w:tcW w:w="1260" w:type="dxa"/>
            <w:noWrap/>
            <w:vAlign w:val="center"/>
          </w:tcPr>
          <w:p w14:paraId="380B684B" w14:textId="28EC107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87</w:t>
            </w:r>
          </w:p>
        </w:tc>
      </w:tr>
      <w:tr w:rsidR="00470980" w:rsidRPr="00F549CC" w14:paraId="47367A8F" w14:textId="77777777" w:rsidTr="006148C7">
        <w:trPr>
          <w:trHeight w:val="320"/>
        </w:trPr>
        <w:tc>
          <w:tcPr>
            <w:tcW w:w="1260" w:type="dxa"/>
            <w:noWrap/>
            <w:vAlign w:val="center"/>
          </w:tcPr>
          <w:p w14:paraId="0A0B6B46" w14:textId="033FE638"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Chinese cabbage</w:t>
            </w:r>
          </w:p>
        </w:tc>
        <w:tc>
          <w:tcPr>
            <w:tcW w:w="943" w:type="dxa"/>
            <w:noWrap/>
            <w:vAlign w:val="center"/>
          </w:tcPr>
          <w:p w14:paraId="731F081C" w14:textId="456FAF0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60</w:t>
            </w:r>
          </w:p>
        </w:tc>
        <w:tc>
          <w:tcPr>
            <w:tcW w:w="947" w:type="dxa"/>
            <w:noWrap/>
            <w:vAlign w:val="center"/>
          </w:tcPr>
          <w:p w14:paraId="08871668" w14:textId="689ACB0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66</w:t>
            </w:r>
          </w:p>
        </w:tc>
        <w:tc>
          <w:tcPr>
            <w:tcW w:w="720" w:type="dxa"/>
            <w:vAlign w:val="center"/>
          </w:tcPr>
          <w:p w14:paraId="41734D67" w14:textId="156CC05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21</w:t>
            </w:r>
          </w:p>
        </w:tc>
        <w:tc>
          <w:tcPr>
            <w:tcW w:w="720" w:type="dxa"/>
            <w:noWrap/>
            <w:vAlign w:val="center"/>
          </w:tcPr>
          <w:p w14:paraId="7F6D360A" w14:textId="081A89F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42</w:t>
            </w:r>
          </w:p>
        </w:tc>
        <w:tc>
          <w:tcPr>
            <w:tcW w:w="720" w:type="dxa"/>
            <w:noWrap/>
            <w:vAlign w:val="center"/>
          </w:tcPr>
          <w:p w14:paraId="1BBF24BB" w14:textId="7D2AA3F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49</w:t>
            </w:r>
          </w:p>
        </w:tc>
        <w:tc>
          <w:tcPr>
            <w:tcW w:w="990" w:type="dxa"/>
            <w:noWrap/>
            <w:vAlign w:val="center"/>
          </w:tcPr>
          <w:p w14:paraId="0EF0E098" w14:textId="67E1042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562A5680" w14:textId="3E69730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49E4E5B5" w14:textId="6E6EE77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72</w:t>
            </w:r>
          </w:p>
        </w:tc>
        <w:tc>
          <w:tcPr>
            <w:tcW w:w="1260" w:type="dxa"/>
            <w:noWrap/>
            <w:vAlign w:val="center"/>
          </w:tcPr>
          <w:p w14:paraId="6D4D3D53" w14:textId="2FB2160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84</w:t>
            </w:r>
          </w:p>
        </w:tc>
      </w:tr>
      <w:tr w:rsidR="00470980" w:rsidRPr="00F549CC" w14:paraId="1B1ED449" w14:textId="77777777" w:rsidTr="006148C7">
        <w:trPr>
          <w:trHeight w:val="320"/>
        </w:trPr>
        <w:tc>
          <w:tcPr>
            <w:tcW w:w="1260" w:type="dxa"/>
            <w:noWrap/>
            <w:vAlign w:val="center"/>
          </w:tcPr>
          <w:p w14:paraId="10089EE3" w14:textId="5E049A28"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Beef organs</w:t>
            </w:r>
          </w:p>
        </w:tc>
        <w:tc>
          <w:tcPr>
            <w:tcW w:w="943" w:type="dxa"/>
            <w:noWrap/>
            <w:vAlign w:val="center"/>
          </w:tcPr>
          <w:p w14:paraId="35C42343" w14:textId="719ADB8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80</w:t>
            </w:r>
          </w:p>
        </w:tc>
        <w:tc>
          <w:tcPr>
            <w:tcW w:w="947" w:type="dxa"/>
            <w:noWrap/>
            <w:vAlign w:val="center"/>
          </w:tcPr>
          <w:p w14:paraId="40898F0A" w14:textId="5CE4B29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53</w:t>
            </w:r>
          </w:p>
        </w:tc>
        <w:tc>
          <w:tcPr>
            <w:tcW w:w="720" w:type="dxa"/>
            <w:vAlign w:val="center"/>
          </w:tcPr>
          <w:p w14:paraId="78415A55" w14:textId="4CA34D8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w:t>
            </w:r>
          </w:p>
        </w:tc>
        <w:tc>
          <w:tcPr>
            <w:tcW w:w="720" w:type="dxa"/>
            <w:noWrap/>
            <w:vAlign w:val="center"/>
          </w:tcPr>
          <w:p w14:paraId="7E3357B3" w14:textId="2FE105C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84</w:t>
            </w:r>
          </w:p>
        </w:tc>
        <w:tc>
          <w:tcPr>
            <w:tcW w:w="720" w:type="dxa"/>
            <w:noWrap/>
            <w:vAlign w:val="center"/>
          </w:tcPr>
          <w:p w14:paraId="12B872BA" w14:textId="66A6D0A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990" w:type="dxa"/>
            <w:noWrap/>
            <w:vAlign w:val="center"/>
          </w:tcPr>
          <w:p w14:paraId="4916176C" w14:textId="289F3CB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98</w:t>
            </w:r>
          </w:p>
        </w:tc>
        <w:tc>
          <w:tcPr>
            <w:tcW w:w="900" w:type="dxa"/>
            <w:vAlign w:val="center"/>
          </w:tcPr>
          <w:p w14:paraId="4DFDD75B" w14:textId="7FE9B64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-12</w:t>
            </w:r>
          </w:p>
        </w:tc>
        <w:tc>
          <w:tcPr>
            <w:tcW w:w="990" w:type="dxa"/>
            <w:noWrap/>
            <w:vAlign w:val="center"/>
          </w:tcPr>
          <w:p w14:paraId="6F8D5982" w14:textId="44020A7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85</w:t>
            </w:r>
          </w:p>
        </w:tc>
        <w:tc>
          <w:tcPr>
            <w:tcW w:w="1260" w:type="dxa"/>
            <w:noWrap/>
            <w:vAlign w:val="center"/>
          </w:tcPr>
          <w:p w14:paraId="1CAFB0D0" w14:textId="1D59820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84</w:t>
            </w:r>
          </w:p>
        </w:tc>
      </w:tr>
      <w:tr w:rsidR="00470980" w:rsidRPr="00F549CC" w14:paraId="4F2D4D46" w14:textId="77777777" w:rsidTr="006148C7">
        <w:trPr>
          <w:trHeight w:val="320"/>
        </w:trPr>
        <w:tc>
          <w:tcPr>
            <w:tcW w:w="1260" w:type="dxa"/>
            <w:noWrap/>
            <w:vAlign w:val="center"/>
          </w:tcPr>
          <w:p w14:paraId="08C2BB41" w14:textId="0DDE22DC"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Fatty fish</w:t>
            </w:r>
          </w:p>
        </w:tc>
        <w:tc>
          <w:tcPr>
            <w:tcW w:w="943" w:type="dxa"/>
            <w:noWrap/>
            <w:vAlign w:val="center"/>
          </w:tcPr>
          <w:p w14:paraId="31967213" w14:textId="1DEBFD0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61</w:t>
            </w:r>
          </w:p>
        </w:tc>
        <w:tc>
          <w:tcPr>
            <w:tcW w:w="947" w:type="dxa"/>
            <w:noWrap/>
            <w:vAlign w:val="center"/>
          </w:tcPr>
          <w:p w14:paraId="73A304FC" w14:textId="0155FA3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26</w:t>
            </w:r>
          </w:p>
        </w:tc>
        <w:tc>
          <w:tcPr>
            <w:tcW w:w="720" w:type="dxa"/>
            <w:vAlign w:val="center"/>
          </w:tcPr>
          <w:p w14:paraId="50033FB1" w14:textId="5A6CC43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100</w:t>
            </w:r>
          </w:p>
        </w:tc>
        <w:tc>
          <w:tcPr>
            <w:tcW w:w="720" w:type="dxa"/>
            <w:noWrap/>
            <w:vAlign w:val="center"/>
          </w:tcPr>
          <w:p w14:paraId="27AF44CA" w14:textId="19AFEFE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75</w:t>
            </w:r>
          </w:p>
        </w:tc>
        <w:tc>
          <w:tcPr>
            <w:tcW w:w="720" w:type="dxa"/>
            <w:noWrap/>
            <w:vAlign w:val="center"/>
          </w:tcPr>
          <w:p w14:paraId="09EECAE9" w14:textId="0D92931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w:t>
            </w:r>
          </w:p>
        </w:tc>
        <w:tc>
          <w:tcPr>
            <w:tcW w:w="990" w:type="dxa"/>
            <w:noWrap/>
            <w:vAlign w:val="center"/>
          </w:tcPr>
          <w:p w14:paraId="28EAF1BC" w14:textId="4B22632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72418190" w14:textId="0141A72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-15</w:t>
            </w:r>
          </w:p>
        </w:tc>
        <w:tc>
          <w:tcPr>
            <w:tcW w:w="990" w:type="dxa"/>
            <w:noWrap/>
            <w:vAlign w:val="center"/>
          </w:tcPr>
          <w:p w14:paraId="58488FC3" w14:textId="4EB7606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73</w:t>
            </w:r>
          </w:p>
        </w:tc>
        <w:tc>
          <w:tcPr>
            <w:tcW w:w="1260" w:type="dxa"/>
            <w:noWrap/>
            <w:vAlign w:val="center"/>
          </w:tcPr>
          <w:p w14:paraId="72C01D34" w14:textId="6BFA67A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83</w:t>
            </w:r>
          </w:p>
        </w:tc>
      </w:tr>
      <w:tr w:rsidR="00470980" w:rsidRPr="00F549CC" w14:paraId="026DFD8F" w14:textId="77777777" w:rsidTr="006148C7">
        <w:trPr>
          <w:trHeight w:val="320"/>
        </w:trPr>
        <w:tc>
          <w:tcPr>
            <w:tcW w:w="1260" w:type="dxa"/>
            <w:noWrap/>
            <w:vAlign w:val="center"/>
          </w:tcPr>
          <w:p w14:paraId="17FA5A29" w14:textId="00681A63"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Chinese broccoli</w:t>
            </w:r>
          </w:p>
        </w:tc>
        <w:tc>
          <w:tcPr>
            <w:tcW w:w="943" w:type="dxa"/>
            <w:noWrap/>
            <w:vAlign w:val="center"/>
          </w:tcPr>
          <w:p w14:paraId="7A61A7AA" w14:textId="34C906D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60</w:t>
            </w:r>
          </w:p>
        </w:tc>
        <w:tc>
          <w:tcPr>
            <w:tcW w:w="947" w:type="dxa"/>
            <w:noWrap/>
            <w:vAlign w:val="center"/>
          </w:tcPr>
          <w:p w14:paraId="0F6A1D9F" w14:textId="1F17DC1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56</w:t>
            </w:r>
          </w:p>
        </w:tc>
        <w:tc>
          <w:tcPr>
            <w:tcW w:w="720" w:type="dxa"/>
            <w:vAlign w:val="center"/>
          </w:tcPr>
          <w:p w14:paraId="74FF0FC9" w14:textId="7162535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12</w:t>
            </w:r>
          </w:p>
        </w:tc>
        <w:tc>
          <w:tcPr>
            <w:tcW w:w="720" w:type="dxa"/>
            <w:noWrap/>
            <w:vAlign w:val="center"/>
          </w:tcPr>
          <w:p w14:paraId="780D869B" w14:textId="6424F2C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42</w:t>
            </w:r>
          </w:p>
        </w:tc>
        <w:tc>
          <w:tcPr>
            <w:tcW w:w="720" w:type="dxa"/>
            <w:noWrap/>
            <w:vAlign w:val="center"/>
          </w:tcPr>
          <w:p w14:paraId="39F1DA6D" w14:textId="7883580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73</w:t>
            </w:r>
          </w:p>
        </w:tc>
        <w:tc>
          <w:tcPr>
            <w:tcW w:w="990" w:type="dxa"/>
            <w:noWrap/>
            <w:vAlign w:val="center"/>
          </w:tcPr>
          <w:p w14:paraId="0E5553A7" w14:textId="61D5995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6A78D982" w14:textId="5A68049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7A76EF27" w14:textId="6385870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66</w:t>
            </w:r>
          </w:p>
        </w:tc>
        <w:tc>
          <w:tcPr>
            <w:tcW w:w="1260" w:type="dxa"/>
            <w:noWrap/>
            <w:vAlign w:val="center"/>
          </w:tcPr>
          <w:p w14:paraId="3FC1A1EE" w14:textId="1499CD6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82</w:t>
            </w:r>
          </w:p>
        </w:tc>
      </w:tr>
      <w:tr w:rsidR="00470980" w:rsidRPr="00F549CC" w14:paraId="737AE780" w14:textId="77777777" w:rsidTr="006148C7">
        <w:trPr>
          <w:trHeight w:val="320"/>
        </w:trPr>
        <w:tc>
          <w:tcPr>
            <w:tcW w:w="1260" w:type="dxa"/>
            <w:noWrap/>
            <w:vAlign w:val="center"/>
          </w:tcPr>
          <w:p w14:paraId="50A4FF1C" w14:textId="7E99FC35" w:rsidR="00470980" w:rsidRPr="00470980" w:rsidRDefault="007216AE" w:rsidP="008B6B18">
            <w:pPr>
              <w:spacing w:before="0"/>
              <w:rPr>
                <w:rFonts w:ascii="Times New Roman" w:hAnsi="Times New Roman" w:cs="Times New Roman"/>
                <w:sz w:val="20"/>
                <w:szCs w:val="20"/>
              </w:rPr>
            </w:pPr>
            <w:r>
              <w:rPr>
                <w:rFonts w:ascii="Times New Roman" w:hAnsi="Times New Roman" w:cs="Times New Roman"/>
                <w:color w:val="000000"/>
                <w:sz w:val="20"/>
                <w:szCs w:val="20"/>
              </w:rPr>
              <w:t>Moringa</w:t>
            </w:r>
            <w:r w:rsidRPr="00470980">
              <w:rPr>
                <w:rFonts w:ascii="Times New Roman" w:hAnsi="Times New Roman" w:cs="Times New Roman"/>
                <w:color w:val="000000"/>
                <w:sz w:val="20"/>
                <w:szCs w:val="20"/>
              </w:rPr>
              <w:t xml:space="preserve"> </w:t>
            </w:r>
            <w:r w:rsidR="00470980" w:rsidRPr="00470980">
              <w:rPr>
                <w:rFonts w:ascii="Times New Roman" w:hAnsi="Times New Roman" w:cs="Times New Roman"/>
                <w:color w:val="000000"/>
                <w:sz w:val="20"/>
                <w:szCs w:val="20"/>
              </w:rPr>
              <w:t>leaves</w:t>
            </w:r>
          </w:p>
        </w:tc>
        <w:tc>
          <w:tcPr>
            <w:tcW w:w="943" w:type="dxa"/>
            <w:noWrap/>
            <w:vAlign w:val="center"/>
          </w:tcPr>
          <w:p w14:paraId="64DBBCCC" w14:textId="67FFE14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72</w:t>
            </w:r>
          </w:p>
        </w:tc>
        <w:tc>
          <w:tcPr>
            <w:tcW w:w="947" w:type="dxa"/>
            <w:noWrap/>
            <w:vAlign w:val="center"/>
          </w:tcPr>
          <w:p w14:paraId="5CE6D6F8" w14:textId="5E73214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60</w:t>
            </w:r>
          </w:p>
        </w:tc>
        <w:tc>
          <w:tcPr>
            <w:tcW w:w="720" w:type="dxa"/>
            <w:vAlign w:val="center"/>
          </w:tcPr>
          <w:p w14:paraId="1ED1C169" w14:textId="01CFDC7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w:t>
            </w:r>
          </w:p>
        </w:tc>
        <w:tc>
          <w:tcPr>
            <w:tcW w:w="720" w:type="dxa"/>
            <w:noWrap/>
            <w:vAlign w:val="center"/>
          </w:tcPr>
          <w:p w14:paraId="6FF5A066" w14:textId="1E495B8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50</w:t>
            </w:r>
          </w:p>
        </w:tc>
        <w:tc>
          <w:tcPr>
            <w:tcW w:w="720" w:type="dxa"/>
            <w:noWrap/>
            <w:vAlign w:val="center"/>
          </w:tcPr>
          <w:p w14:paraId="3D175F4B" w14:textId="7F4940E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29</w:t>
            </w:r>
          </w:p>
        </w:tc>
        <w:tc>
          <w:tcPr>
            <w:tcW w:w="990" w:type="dxa"/>
            <w:noWrap/>
            <w:vAlign w:val="center"/>
          </w:tcPr>
          <w:p w14:paraId="44AF8BD9" w14:textId="384AEBB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97</w:t>
            </w:r>
          </w:p>
        </w:tc>
        <w:tc>
          <w:tcPr>
            <w:tcW w:w="900" w:type="dxa"/>
            <w:vAlign w:val="center"/>
          </w:tcPr>
          <w:p w14:paraId="7BBCF1BF" w14:textId="2D421F4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1D94E83D" w14:textId="5CB7B9E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75</w:t>
            </w:r>
          </w:p>
        </w:tc>
        <w:tc>
          <w:tcPr>
            <w:tcW w:w="1260" w:type="dxa"/>
            <w:noWrap/>
            <w:vAlign w:val="center"/>
          </w:tcPr>
          <w:p w14:paraId="749E2EEB" w14:textId="0F644A4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81</w:t>
            </w:r>
          </w:p>
        </w:tc>
      </w:tr>
      <w:tr w:rsidR="00470980" w:rsidRPr="00F549CC" w14:paraId="3089BB86" w14:textId="77777777" w:rsidTr="006148C7">
        <w:trPr>
          <w:trHeight w:val="320"/>
        </w:trPr>
        <w:tc>
          <w:tcPr>
            <w:tcW w:w="1260" w:type="dxa"/>
            <w:noWrap/>
            <w:vAlign w:val="center"/>
          </w:tcPr>
          <w:p w14:paraId="4D101C8D" w14:textId="1581904F"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Deer</w:t>
            </w:r>
          </w:p>
        </w:tc>
        <w:tc>
          <w:tcPr>
            <w:tcW w:w="943" w:type="dxa"/>
            <w:noWrap/>
            <w:vAlign w:val="center"/>
          </w:tcPr>
          <w:p w14:paraId="7E241B38" w14:textId="2689E15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61</w:t>
            </w:r>
          </w:p>
        </w:tc>
        <w:tc>
          <w:tcPr>
            <w:tcW w:w="947" w:type="dxa"/>
            <w:noWrap/>
            <w:vAlign w:val="center"/>
          </w:tcPr>
          <w:p w14:paraId="4A3536EB" w14:textId="1297B59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58</w:t>
            </w:r>
          </w:p>
        </w:tc>
        <w:tc>
          <w:tcPr>
            <w:tcW w:w="720" w:type="dxa"/>
            <w:vAlign w:val="center"/>
          </w:tcPr>
          <w:p w14:paraId="7688ADB5" w14:textId="611EC8B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720" w:type="dxa"/>
            <w:noWrap/>
            <w:vAlign w:val="center"/>
          </w:tcPr>
          <w:p w14:paraId="747CFEDF" w14:textId="7506B9F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92</w:t>
            </w:r>
          </w:p>
        </w:tc>
        <w:tc>
          <w:tcPr>
            <w:tcW w:w="720" w:type="dxa"/>
            <w:noWrap/>
            <w:vAlign w:val="center"/>
          </w:tcPr>
          <w:p w14:paraId="7A4AB675" w14:textId="1E184BD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990" w:type="dxa"/>
            <w:noWrap/>
            <w:vAlign w:val="center"/>
          </w:tcPr>
          <w:p w14:paraId="1F4693AD" w14:textId="252313C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96</w:t>
            </w:r>
          </w:p>
        </w:tc>
        <w:tc>
          <w:tcPr>
            <w:tcW w:w="900" w:type="dxa"/>
            <w:vAlign w:val="center"/>
          </w:tcPr>
          <w:p w14:paraId="1CBD7C09" w14:textId="4DB9D55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w:t>
            </w:r>
          </w:p>
        </w:tc>
        <w:tc>
          <w:tcPr>
            <w:tcW w:w="990" w:type="dxa"/>
            <w:noWrap/>
            <w:vAlign w:val="center"/>
          </w:tcPr>
          <w:p w14:paraId="719C2059" w14:textId="6D3A389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80</w:t>
            </w:r>
          </w:p>
        </w:tc>
        <w:tc>
          <w:tcPr>
            <w:tcW w:w="1260" w:type="dxa"/>
            <w:noWrap/>
            <w:vAlign w:val="center"/>
          </w:tcPr>
          <w:p w14:paraId="0D91E1A2" w14:textId="6D9A6F8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81</w:t>
            </w:r>
          </w:p>
        </w:tc>
      </w:tr>
      <w:tr w:rsidR="00470980" w:rsidRPr="00F549CC" w14:paraId="773FB0A1" w14:textId="77777777" w:rsidTr="006148C7">
        <w:trPr>
          <w:trHeight w:val="320"/>
        </w:trPr>
        <w:tc>
          <w:tcPr>
            <w:tcW w:w="1260" w:type="dxa"/>
            <w:noWrap/>
            <w:vAlign w:val="center"/>
          </w:tcPr>
          <w:p w14:paraId="2EEBDBF2" w14:textId="58B519A8"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Sweet potato leaves</w:t>
            </w:r>
          </w:p>
        </w:tc>
        <w:tc>
          <w:tcPr>
            <w:tcW w:w="943" w:type="dxa"/>
            <w:noWrap/>
            <w:vAlign w:val="center"/>
          </w:tcPr>
          <w:p w14:paraId="2961ABB5" w14:textId="36A621D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53</w:t>
            </w:r>
          </w:p>
        </w:tc>
        <w:tc>
          <w:tcPr>
            <w:tcW w:w="947" w:type="dxa"/>
            <w:noWrap/>
            <w:vAlign w:val="center"/>
          </w:tcPr>
          <w:p w14:paraId="2304FB99" w14:textId="1E6E015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51</w:t>
            </w:r>
          </w:p>
        </w:tc>
        <w:tc>
          <w:tcPr>
            <w:tcW w:w="720" w:type="dxa"/>
            <w:vAlign w:val="center"/>
          </w:tcPr>
          <w:p w14:paraId="1134E2F1" w14:textId="7D36293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w:t>
            </w:r>
          </w:p>
        </w:tc>
        <w:tc>
          <w:tcPr>
            <w:tcW w:w="720" w:type="dxa"/>
            <w:noWrap/>
            <w:vAlign w:val="center"/>
          </w:tcPr>
          <w:p w14:paraId="34F30088" w14:textId="21D80F2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49</w:t>
            </w:r>
          </w:p>
        </w:tc>
        <w:tc>
          <w:tcPr>
            <w:tcW w:w="720" w:type="dxa"/>
            <w:noWrap/>
            <w:vAlign w:val="center"/>
          </w:tcPr>
          <w:p w14:paraId="69683819" w14:textId="78CB164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70</w:t>
            </w:r>
          </w:p>
        </w:tc>
        <w:tc>
          <w:tcPr>
            <w:tcW w:w="990" w:type="dxa"/>
            <w:noWrap/>
            <w:vAlign w:val="center"/>
          </w:tcPr>
          <w:p w14:paraId="5E3CF6FD" w14:textId="22226EF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01F8DF8D" w14:textId="1E07FD6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63DC34EE" w14:textId="3390518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61</w:t>
            </w:r>
          </w:p>
        </w:tc>
        <w:tc>
          <w:tcPr>
            <w:tcW w:w="1260" w:type="dxa"/>
            <w:noWrap/>
            <w:vAlign w:val="center"/>
          </w:tcPr>
          <w:p w14:paraId="11E77351" w14:textId="4295437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78</w:t>
            </w:r>
          </w:p>
        </w:tc>
      </w:tr>
      <w:tr w:rsidR="00470980" w:rsidRPr="00F549CC" w14:paraId="52EA3F1E" w14:textId="77777777" w:rsidTr="006148C7">
        <w:trPr>
          <w:trHeight w:val="320"/>
        </w:trPr>
        <w:tc>
          <w:tcPr>
            <w:tcW w:w="1260" w:type="dxa"/>
            <w:noWrap/>
            <w:vAlign w:val="center"/>
          </w:tcPr>
          <w:p w14:paraId="61681842" w14:textId="734B3E98"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Bivalves</w:t>
            </w:r>
          </w:p>
        </w:tc>
        <w:tc>
          <w:tcPr>
            <w:tcW w:w="943" w:type="dxa"/>
            <w:noWrap/>
            <w:vAlign w:val="center"/>
          </w:tcPr>
          <w:p w14:paraId="71777AE8" w14:textId="28AD36C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39</w:t>
            </w:r>
          </w:p>
        </w:tc>
        <w:tc>
          <w:tcPr>
            <w:tcW w:w="947" w:type="dxa"/>
            <w:noWrap/>
            <w:vAlign w:val="center"/>
          </w:tcPr>
          <w:p w14:paraId="0FB31BCF" w14:textId="181BE10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56</w:t>
            </w:r>
          </w:p>
        </w:tc>
        <w:tc>
          <w:tcPr>
            <w:tcW w:w="720" w:type="dxa"/>
            <w:vAlign w:val="center"/>
          </w:tcPr>
          <w:p w14:paraId="653E7B89" w14:textId="0095079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52</w:t>
            </w:r>
          </w:p>
        </w:tc>
        <w:tc>
          <w:tcPr>
            <w:tcW w:w="720" w:type="dxa"/>
            <w:noWrap/>
            <w:vAlign w:val="center"/>
          </w:tcPr>
          <w:p w14:paraId="29161E79" w14:textId="704FEB5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68</w:t>
            </w:r>
          </w:p>
        </w:tc>
        <w:tc>
          <w:tcPr>
            <w:tcW w:w="720" w:type="dxa"/>
            <w:noWrap/>
            <w:vAlign w:val="center"/>
          </w:tcPr>
          <w:p w14:paraId="509BCA6B" w14:textId="450536A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w:t>
            </w:r>
          </w:p>
        </w:tc>
        <w:tc>
          <w:tcPr>
            <w:tcW w:w="990" w:type="dxa"/>
            <w:noWrap/>
            <w:vAlign w:val="center"/>
          </w:tcPr>
          <w:p w14:paraId="03B14923" w14:textId="740DE72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97</w:t>
            </w:r>
          </w:p>
        </w:tc>
        <w:tc>
          <w:tcPr>
            <w:tcW w:w="900" w:type="dxa"/>
            <w:vAlign w:val="center"/>
          </w:tcPr>
          <w:p w14:paraId="231C806C" w14:textId="5469982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w:t>
            </w:r>
          </w:p>
        </w:tc>
        <w:tc>
          <w:tcPr>
            <w:tcW w:w="990" w:type="dxa"/>
            <w:noWrap/>
            <w:vAlign w:val="center"/>
          </w:tcPr>
          <w:p w14:paraId="434F6429" w14:textId="71FE4FC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68</w:t>
            </w:r>
          </w:p>
        </w:tc>
        <w:tc>
          <w:tcPr>
            <w:tcW w:w="1260" w:type="dxa"/>
            <w:noWrap/>
            <w:vAlign w:val="center"/>
          </w:tcPr>
          <w:p w14:paraId="57C24552" w14:textId="44486A8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76</w:t>
            </w:r>
          </w:p>
        </w:tc>
      </w:tr>
      <w:tr w:rsidR="00470980" w:rsidRPr="00F549CC" w14:paraId="40640DA8" w14:textId="77777777" w:rsidTr="006148C7">
        <w:trPr>
          <w:trHeight w:val="320"/>
        </w:trPr>
        <w:tc>
          <w:tcPr>
            <w:tcW w:w="1260" w:type="dxa"/>
            <w:noWrap/>
            <w:vAlign w:val="center"/>
          </w:tcPr>
          <w:p w14:paraId="7F84440D" w14:textId="292C7F76"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Goat</w:t>
            </w:r>
          </w:p>
        </w:tc>
        <w:tc>
          <w:tcPr>
            <w:tcW w:w="943" w:type="dxa"/>
            <w:noWrap/>
            <w:vAlign w:val="center"/>
          </w:tcPr>
          <w:p w14:paraId="1033A4FB" w14:textId="2B229C5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41</w:t>
            </w:r>
          </w:p>
        </w:tc>
        <w:tc>
          <w:tcPr>
            <w:tcW w:w="947" w:type="dxa"/>
            <w:noWrap/>
            <w:vAlign w:val="center"/>
          </w:tcPr>
          <w:p w14:paraId="284CE735" w14:textId="69D4CAE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55</w:t>
            </w:r>
          </w:p>
        </w:tc>
        <w:tc>
          <w:tcPr>
            <w:tcW w:w="720" w:type="dxa"/>
            <w:vAlign w:val="center"/>
          </w:tcPr>
          <w:p w14:paraId="294EB4AC" w14:textId="237A336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720" w:type="dxa"/>
            <w:noWrap/>
            <w:vAlign w:val="center"/>
          </w:tcPr>
          <w:p w14:paraId="4B75EAD9" w14:textId="2212C49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89</w:t>
            </w:r>
          </w:p>
        </w:tc>
        <w:tc>
          <w:tcPr>
            <w:tcW w:w="720" w:type="dxa"/>
            <w:noWrap/>
            <w:vAlign w:val="center"/>
          </w:tcPr>
          <w:p w14:paraId="05BF61CD" w14:textId="450BD9D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990" w:type="dxa"/>
            <w:noWrap/>
            <w:vAlign w:val="center"/>
          </w:tcPr>
          <w:p w14:paraId="1A179638" w14:textId="72B043B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5E797F17" w14:textId="6F23FD4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w:t>
            </w:r>
          </w:p>
        </w:tc>
        <w:tc>
          <w:tcPr>
            <w:tcW w:w="990" w:type="dxa"/>
            <w:noWrap/>
            <w:vAlign w:val="center"/>
          </w:tcPr>
          <w:p w14:paraId="15EAA449" w14:textId="52B7A50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68</w:t>
            </w:r>
          </w:p>
        </w:tc>
        <w:tc>
          <w:tcPr>
            <w:tcW w:w="1260" w:type="dxa"/>
            <w:noWrap/>
            <w:vAlign w:val="center"/>
          </w:tcPr>
          <w:p w14:paraId="65AD3200" w14:textId="6A4274C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74</w:t>
            </w:r>
          </w:p>
        </w:tc>
      </w:tr>
      <w:tr w:rsidR="00470980" w:rsidRPr="00F549CC" w14:paraId="3D3C7ED3" w14:textId="77777777" w:rsidTr="006148C7">
        <w:trPr>
          <w:trHeight w:val="320"/>
        </w:trPr>
        <w:tc>
          <w:tcPr>
            <w:tcW w:w="1260" w:type="dxa"/>
            <w:noWrap/>
            <w:vAlign w:val="center"/>
          </w:tcPr>
          <w:p w14:paraId="596CAFD6" w14:textId="1286C678"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Buffalo</w:t>
            </w:r>
          </w:p>
        </w:tc>
        <w:tc>
          <w:tcPr>
            <w:tcW w:w="943" w:type="dxa"/>
            <w:noWrap/>
            <w:vAlign w:val="center"/>
          </w:tcPr>
          <w:p w14:paraId="39A27B5C" w14:textId="5778AAB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51</w:t>
            </w:r>
          </w:p>
        </w:tc>
        <w:tc>
          <w:tcPr>
            <w:tcW w:w="947" w:type="dxa"/>
            <w:noWrap/>
            <w:vAlign w:val="center"/>
          </w:tcPr>
          <w:p w14:paraId="2963515D" w14:textId="4B39B5A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40</w:t>
            </w:r>
          </w:p>
        </w:tc>
        <w:tc>
          <w:tcPr>
            <w:tcW w:w="720" w:type="dxa"/>
            <w:vAlign w:val="center"/>
          </w:tcPr>
          <w:p w14:paraId="62352790" w14:textId="7FFB721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720" w:type="dxa"/>
            <w:noWrap/>
            <w:vAlign w:val="center"/>
          </w:tcPr>
          <w:p w14:paraId="2C3BA3CB" w14:textId="6C5561D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94</w:t>
            </w:r>
          </w:p>
        </w:tc>
        <w:tc>
          <w:tcPr>
            <w:tcW w:w="720" w:type="dxa"/>
            <w:noWrap/>
            <w:vAlign w:val="center"/>
          </w:tcPr>
          <w:p w14:paraId="07076C7B" w14:textId="2297E58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990" w:type="dxa"/>
            <w:noWrap/>
            <w:vAlign w:val="center"/>
          </w:tcPr>
          <w:p w14:paraId="42D953F8" w14:textId="384E27B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017D28A5" w14:textId="29567AF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26772E28" w14:textId="75B8F7C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67</w:t>
            </w:r>
          </w:p>
        </w:tc>
        <w:tc>
          <w:tcPr>
            <w:tcW w:w="1260" w:type="dxa"/>
            <w:noWrap/>
            <w:vAlign w:val="center"/>
          </w:tcPr>
          <w:p w14:paraId="45327EEF" w14:textId="54066C2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74</w:t>
            </w:r>
          </w:p>
        </w:tc>
      </w:tr>
      <w:tr w:rsidR="00470980" w:rsidRPr="00F549CC" w14:paraId="3537A31C" w14:textId="77777777" w:rsidTr="006148C7">
        <w:trPr>
          <w:trHeight w:val="320"/>
        </w:trPr>
        <w:tc>
          <w:tcPr>
            <w:tcW w:w="1260" w:type="dxa"/>
            <w:noWrap/>
            <w:vAlign w:val="center"/>
          </w:tcPr>
          <w:p w14:paraId="54DA42FC" w14:textId="156FEC5D"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Broccoli</w:t>
            </w:r>
          </w:p>
        </w:tc>
        <w:tc>
          <w:tcPr>
            <w:tcW w:w="943" w:type="dxa"/>
            <w:noWrap/>
            <w:vAlign w:val="center"/>
          </w:tcPr>
          <w:p w14:paraId="5448B1AF" w14:textId="01CB573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58</w:t>
            </w:r>
          </w:p>
        </w:tc>
        <w:tc>
          <w:tcPr>
            <w:tcW w:w="947" w:type="dxa"/>
            <w:noWrap/>
            <w:vAlign w:val="center"/>
          </w:tcPr>
          <w:p w14:paraId="03D5753F" w14:textId="70DECCD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41</w:t>
            </w:r>
          </w:p>
        </w:tc>
        <w:tc>
          <w:tcPr>
            <w:tcW w:w="720" w:type="dxa"/>
            <w:vAlign w:val="center"/>
          </w:tcPr>
          <w:p w14:paraId="2EFFB03A" w14:textId="2E658D2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w:t>
            </w:r>
          </w:p>
        </w:tc>
        <w:tc>
          <w:tcPr>
            <w:tcW w:w="720" w:type="dxa"/>
            <w:noWrap/>
            <w:vAlign w:val="center"/>
          </w:tcPr>
          <w:p w14:paraId="22187FB5" w14:textId="08E6012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38</w:t>
            </w:r>
          </w:p>
        </w:tc>
        <w:tc>
          <w:tcPr>
            <w:tcW w:w="720" w:type="dxa"/>
            <w:noWrap/>
            <w:vAlign w:val="center"/>
          </w:tcPr>
          <w:p w14:paraId="20E8060B" w14:textId="7AC69D5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63</w:t>
            </w:r>
          </w:p>
        </w:tc>
        <w:tc>
          <w:tcPr>
            <w:tcW w:w="990" w:type="dxa"/>
            <w:noWrap/>
            <w:vAlign w:val="center"/>
          </w:tcPr>
          <w:p w14:paraId="003C8BD2" w14:textId="308EF59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6DAA72D2" w14:textId="7770536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2DCCB721" w14:textId="2B3BB2E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55</w:t>
            </w:r>
          </w:p>
        </w:tc>
        <w:tc>
          <w:tcPr>
            <w:tcW w:w="1260" w:type="dxa"/>
            <w:noWrap/>
            <w:vAlign w:val="center"/>
          </w:tcPr>
          <w:p w14:paraId="219A3D8A" w14:textId="2C4B8C7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73</w:t>
            </w:r>
          </w:p>
        </w:tc>
      </w:tr>
      <w:tr w:rsidR="00470980" w:rsidRPr="00F549CC" w14:paraId="4748A9FC" w14:textId="77777777" w:rsidTr="006148C7">
        <w:trPr>
          <w:trHeight w:val="320"/>
        </w:trPr>
        <w:tc>
          <w:tcPr>
            <w:tcW w:w="1260" w:type="dxa"/>
            <w:noWrap/>
            <w:vAlign w:val="center"/>
          </w:tcPr>
          <w:p w14:paraId="32794A0E" w14:textId="695828FC"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Cassava leaves</w:t>
            </w:r>
          </w:p>
        </w:tc>
        <w:tc>
          <w:tcPr>
            <w:tcW w:w="943" w:type="dxa"/>
            <w:noWrap/>
            <w:vAlign w:val="center"/>
          </w:tcPr>
          <w:p w14:paraId="721ACF9A" w14:textId="76294C7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49</w:t>
            </w:r>
          </w:p>
        </w:tc>
        <w:tc>
          <w:tcPr>
            <w:tcW w:w="947" w:type="dxa"/>
            <w:noWrap/>
            <w:vAlign w:val="center"/>
          </w:tcPr>
          <w:p w14:paraId="099B42F5" w14:textId="2968952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59</w:t>
            </w:r>
          </w:p>
        </w:tc>
        <w:tc>
          <w:tcPr>
            <w:tcW w:w="720" w:type="dxa"/>
            <w:vAlign w:val="center"/>
          </w:tcPr>
          <w:p w14:paraId="246455CC" w14:textId="2C2DE98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w:t>
            </w:r>
          </w:p>
        </w:tc>
        <w:tc>
          <w:tcPr>
            <w:tcW w:w="720" w:type="dxa"/>
            <w:noWrap/>
            <w:vAlign w:val="center"/>
          </w:tcPr>
          <w:p w14:paraId="383C2DB4" w14:textId="7864D86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42</w:t>
            </w:r>
          </w:p>
        </w:tc>
        <w:tc>
          <w:tcPr>
            <w:tcW w:w="720" w:type="dxa"/>
            <w:noWrap/>
            <w:vAlign w:val="center"/>
          </w:tcPr>
          <w:p w14:paraId="77B22DE0" w14:textId="4FCDD02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33</w:t>
            </w:r>
          </w:p>
        </w:tc>
        <w:tc>
          <w:tcPr>
            <w:tcW w:w="990" w:type="dxa"/>
            <w:noWrap/>
            <w:vAlign w:val="center"/>
          </w:tcPr>
          <w:p w14:paraId="0996E244" w14:textId="25B6B2E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98</w:t>
            </w:r>
          </w:p>
        </w:tc>
        <w:tc>
          <w:tcPr>
            <w:tcW w:w="900" w:type="dxa"/>
            <w:vAlign w:val="center"/>
          </w:tcPr>
          <w:p w14:paraId="10EA0669" w14:textId="6CF9CF6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7C72EFCA" w14:textId="4696CF4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61</w:t>
            </w:r>
          </w:p>
        </w:tc>
        <w:tc>
          <w:tcPr>
            <w:tcW w:w="1260" w:type="dxa"/>
            <w:noWrap/>
            <w:vAlign w:val="center"/>
          </w:tcPr>
          <w:p w14:paraId="60661536" w14:textId="229AB26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73</w:t>
            </w:r>
          </w:p>
        </w:tc>
      </w:tr>
      <w:tr w:rsidR="00470980" w:rsidRPr="00F549CC" w14:paraId="29DF97C1" w14:textId="77777777" w:rsidTr="006148C7">
        <w:trPr>
          <w:trHeight w:val="320"/>
        </w:trPr>
        <w:tc>
          <w:tcPr>
            <w:tcW w:w="1260" w:type="dxa"/>
            <w:noWrap/>
            <w:vAlign w:val="center"/>
          </w:tcPr>
          <w:p w14:paraId="49ADFB91" w14:textId="23BC056C"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Horse</w:t>
            </w:r>
          </w:p>
        </w:tc>
        <w:tc>
          <w:tcPr>
            <w:tcW w:w="943" w:type="dxa"/>
            <w:noWrap/>
            <w:vAlign w:val="center"/>
          </w:tcPr>
          <w:p w14:paraId="3298CD68" w14:textId="7F28C37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40</w:t>
            </w:r>
          </w:p>
        </w:tc>
        <w:tc>
          <w:tcPr>
            <w:tcW w:w="947" w:type="dxa"/>
            <w:noWrap/>
            <w:vAlign w:val="center"/>
          </w:tcPr>
          <w:p w14:paraId="2B0CDF8E" w14:textId="59DEC3A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50</w:t>
            </w:r>
          </w:p>
        </w:tc>
        <w:tc>
          <w:tcPr>
            <w:tcW w:w="720" w:type="dxa"/>
            <w:vAlign w:val="center"/>
          </w:tcPr>
          <w:p w14:paraId="27E91D15" w14:textId="5203E1D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w:t>
            </w:r>
          </w:p>
        </w:tc>
        <w:tc>
          <w:tcPr>
            <w:tcW w:w="720" w:type="dxa"/>
            <w:noWrap/>
            <w:vAlign w:val="center"/>
          </w:tcPr>
          <w:p w14:paraId="350D87F2" w14:textId="79FAB8B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94</w:t>
            </w:r>
          </w:p>
        </w:tc>
        <w:tc>
          <w:tcPr>
            <w:tcW w:w="720" w:type="dxa"/>
            <w:noWrap/>
            <w:vAlign w:val="center"/>
          </w:tcPr>
          <w:p w14:paraId="6325162B" w14:textId="228DEBC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990" w:type="dxa"/>
            <w:noWrap/>
            <w:vAlign w:val="center"/>
          </w:tcPr>
          <w:p w14:paraId="20D065DC" w14:textId="399ADEE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3384A0EE" w14:textId="0566F55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-10</w:t>
            </w:r>
          </w:p>
        </w:tc>
        <w:tc>
          <w:tcPr>
            <w:tcW w:w="990" w:type="dxa"/>
            <w:noWrap/>
            <w:vAlign w:val="center"/>
          </w:tcPr>
          <w:p w14:paraId="75E07486" w14:textId="59DE591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66</w:t>
            </w:r>
          </w:p>
        </w:tc>
        <w:tc>
          <w:tcPr>
            <w:tcW w:w="1260" w:type="dxa"/>
            <w:noWrap/>
            <w:vAlign w:val="center"/>
          </w:tcPr>
          <w:p w14:paraId="3EE31D16" w14:textId="420C2BA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72</w:t>
            </w:r>
          </w:p>
        </w:tc>
      </w:tr>
      <w:tr w:rsidR="00470980" w:rsidRPr="00F549CC" w14:paraId="5DE988BA" w14:textId="77777777" w:rsidTr="006148C7">
        <w:trPr>
          <w:trHeight w:val="320"/>
        </w:trPr>
        <w:tc>
          <w:tcPr>
            <w:tcW w:w="1260" w:type="dxa"/>
            <w:noWrap/>
            <w:vAlign w:val="center"/>
          </w:tcPr>
          <w:p w14:paraId="01CD9AE3" w14:textId="67F2B7BF"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Crustaceans</w:t>
            </w:r>
          </w:p>
        </w:tc>
        <w:tc>
          <w:tcPr>
            <w:tcW w:w="943" w:type="dxa"/>
            <w:noWrap/>
            <w:vAlign w:val="center"/>
          </w:tcPr>
          <w:p w14:paraId="47BBACCA" w14:textId="658008A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41</w:t>
            </w:r>
          </w:p>
        </w:tc>
        <w:tc>
          <w:tcPr>
            <w:tcW w:w="947" w:type="dxa"/>
            <w:noWrap/>
            <w:vAlign w:val="center"/>
          </w:tcPr>
          <w:p w14:paraId="05E08F50" w14:textId="7BD9E36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37</w:t>
            </w:r>
          </w:p>
        </w:tc>
        <w:tc>
          <w:tcPr>
            <w:tcW w:w="720" w:type="dxa"/>
            <w:vAlign w:val="center"/>
          </w:tcPr>
          <w:p w14:paraId="12E6B6F3" w14:textId="70F70C9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37</w:t>
            </w:r>
          </w:p>
        </w:tc>
        <w:tc>
          <w:tcPr>
            <w:tcW w:w="720" w:type="dxa"/>
            <w:noWrap/>
            <w:vAlign w:val="center"/>
          </w:tcPr>
          <w:p w14:paraId="3805354F" w14:textId="50A9D81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78</w:t>
            </w:r>
          </w:p>
        </w:tc>
        <w:tc>
          <w:tcPr>
            <w:tcW w:w="720" w:type="dxa"/>
            <w:noWrap/>
            <w:vAlign w:val="center"/>
          </w:tcPr>
          <w:p w14:paraId="3ADAF7E8" w14:textId="1ED3B3D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w:t>
            </w:r>
          </w:p>
        </w:tc>
        <w:tc>
          <w:tcPr>
            <w:tcW w:w="990" w:type="dxa"/>
            <w:noWrap/>
            <w:vAlign w:val="center"/>
          </w:tcPr>
          <w:p w14:paraId="7D6561CF" w14:textId="3AA7E00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95</w:t>
            </w:r>
          </w:p>
        </w:tc>
        <w:tc>
          <w:tcPr>
            <w:tcW w:w="900" w:type="dxa"/>
            <w:vAlign w:val="center"/>
          </w:tcPr>
          <w:p w14:paraId="68D79A94" w14:textId="554A55F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35663CEF" w14:textId="1FD0D46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61</w:t>
            </w:r>
          </w:p>
        </w:tc>
        <w:tc>
          <w:tcPr>
            <w:tcW w:w="1260" w:type="dxa"/>
            <w:noWrap/>
            <w:vAlign w:val="center"/>
          </w:tcPr>
          <w:p w14:paraId="2E3C6488" w14:textId="2970331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71</w:t>
            </w:r>
          </w:p>
        </w:tc>
      </w:tr>
      <w:tr w:rsidR="00470980" w:rsidRPr="00F549CC" w14:paraId="5EFD7082" w14:textId="77777777" w:rsidTr="006148C7">
        <w:trPr>
          <w:trHeight w:val="320"/>
        </w:trPr>
        <w:tc>
          <w:tcPr>
            <w:tcW w:w="1260" w:type="dxa"/>
            <w:noWrap/>
            <w:vAlign w:val="center"/>
          </w:tcPr>
          <w:p w14:paraId="632F20CF" w14:textId="506455B0"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Bitter melon</w:t>
            </w:r>
          </w:p>
        </w:tc>
        <w:tc>
          <w:tcPr>
            <w:tcW w:w="943" w:type="dxa"/>
            <w:noWrap/>
            <w:vAlign w:val="center"/>
          </w:tcPr>
          <w:p w14:paraId="220A8BDA" w14:textId="34382F7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38</w:t>
            </w:r>
          </w:p>
        </w:tc>
        <w:tc>
          <w:tcPr>
            <w:tcW w:w="947" w:type="dxa"/>
            <w:noWrap/>
            <w:vAlign w:val="center"/>
          </w:tcPr>
          <w:p w14:paraId="09A3FE32" w14:textId="6A81724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48</w:t>
            </w:r>
          </w:p>
        </w:tc>
        <w:tc>
          <w:tcPr>
            <w:tcW w:w="720" w:type="dxa"/>
            <w:vAlign w:val="center"/>
          </w:tcPr>
          <w:p w14:paraId="735B6907" w14:textId="0309A7F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w:t>
            </w:r>
          </w:p>
        </w:tc>
        <w:tc>
          <w:tcPr>
            <w:tcW w:w="720" w:type="dxa"/>
            <w:noWrap/>
            <w:vAlign w:val="center"/>
          </w:tcPr>
          <w:p w14:paraId="14D91979" w14:textId="247CB17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34</w:t>
            </w:r>
          </w:p>
        </w:tc>
        <w:tc>
          <w:tcPr>
            <w:tcW w:w="720" w:type="dxa"/>
            <w:noWrap/>
            <w:vAlign w:val="center"/>
          </w:tcPr>
          <w:p w14:paraId="67B2E808" w14:textId="5EB06E0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69</w:t>
            </w:r>
          </w:p>
        </w:tc>
        <w:tc>
          <w:tcPr>
            <w:tcW w:w="990" w:type="dxa"/>
            <w:noWrap/>
            <w:vAlign w:val="center"/>
          </w:tcPr>
          <w:p w14:paraId="557C7A22" w14:textId="31791C6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11A1ACCB" w14:textId="0E43F89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23665487" w14:textId="60A533F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47</w:t>
            </w:r>
          </w:p>
        </w:tc>
        <w:tc>
          <w:tcPr>
            <w:tcW w:w="1260" w:type="dxa"/>
            <w:noWrap/>
            <w:vAlign w:val="center"/>
          </w:tcPr>
          <w:p w14:paraId="27C58148" w14:textId="3CC6720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69</w:t>
            </w:r>
          </w:p>
        </w:tc>
      </w:tr>
      <w:tr w:rsidR="00470980" w:rsidRPr="00F549CC" w14:paraId="15BC0F26" w14:textId="77777777" w:rsidTr="006148C7">
        <w:trPr>
          <w:trHeight w:val="320"/>
        </w:trPr>
        <w:tc>
          <w:tcPr>
            <w:tcW w:w="1260" w:type="dxa"/>
            <w:noWrap/>
            <w:vAlign w:val="center"/>
          </w:tcPr>
          <w:p w14:paraId="3BD224C3" w14:textId="24114957"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Zucchini</w:t>
            </w:r>
          </w:p>
        </w:tc>
        <w:tc>
          <w:tcPr>
            <w:tcW w:w="943" w:type="dxa"/>
            <w:noWrap/>
            <w:vAlign w:val="center"/>
          </w:tcPr>
          <w:p w14:paraId="07D91826" w14:textId="46375D6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47</w:t>
            </w:r>
          </w:p>
        </w:tc>
        <w:tc>
          <w:tcPr>
            <w:tcW w:w="947" w:type="dxa"/>
            <w:noWrap/>
            <w:vAlign w:val="center"/>
          </w:tcPr>
          <w:p w14:paraId="2E800BF9" w14:textId="5508221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49</w:t>
            </w:r>
          </w:p>
        </w:tc>
        <w:tc>
          <w:tcPr>
            <w:tcW w:w="720" w:type="dxa"/>
            <w:vAlign w:val="center"/>
          </w:tcPr>
          <w:p w14:paraId="015822B5" w14:textId="3410EA7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w:t>
            </w:r>
          </w:p>
        </w:tc>
        <w:tc>
          <w:tcPr>
            <w:tcW w:w="720" w:type="dxa"/>
            <w:noWrap/>
            <w:vAlign w:val="center"/>
          </w:tcPr>
          <w:p w14:paraId="2D3825AA" w14:textId="07FF480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35</w:t>
            </w:r>
          </w:p>
        </w:tc>
        <w:tc>
          <w:tcPr>
            <w:tcW w:w="720" w:type="dxa"/>
            <w:noWrap/>
            <w:vAlign w:val="center"/>
          </w:tcPr>
          <w:p w14:paraId="5E09AF2B" w14:textId="677AC68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41</w:t>
            </w:r>
          </w:p>
        </w:tc>
        <w:tc>
          <w:tcPr>
            <w:tcW w:w="990" w:type="dxa"/>
            <w:noWrap/>
            <w:vAlign w:val="center"/>
          </w:tcPr>
          <w:p w14:paraId="3491E3BE" w14:textId="6C1EF34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97</w:t>
            </w:r>
          </w:p>
        </w:tc>
        <w:tc>
          <w:tcPr>
            <w:tcW w:w="900" w:type="dxa"/>
            <w:vAlign w:val="center"/>
          </w:tcPr>
          <w:p w14:paraId="678AD3C8" w14:textId="7A6884A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5BDACD75" w14:textId="16B6A11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53</w:t>
            </w:r>
          </w:p>
        </w:tc>
        <w:tc>
          <w:tcPr>
            <w:tcW w:w="1260" w:type="dxa"/>
            <w:noWrap/>
            <w:vAlign w:val="center"/>
          </w:tcPr>
          <w:p w14:paraId="7408EEBF" w14:textId="774DAFE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69</w:t>
            </w:r>
          </w:p>
        </w:tc>
      </w:tr>
      <w:tr w:rsidR="00470980" w:rsidRPr="00F549CC" w14:paraId="112E17F6" w14:textId="77777777" w:rsidTr="006148C7">
        <w:trPr>
          <w:trHeight w:val="320"/>
        </w:trPr>
        <w:tc>
          <w:tcPr>
            <w:tcW w:w="1260" w:type="dxa"/>
            <w:noWrap/>
            <w:vAlign w:val="center"/>
          </w:tcPr>
          <w:p w14:paraId="6A9DDEB9" w14:textId="7A627A52"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Boar</w:t>
            </w:r>
          </w:p>
        </w:tc>
        <w:tc>
          <w:tcPr>
            <w:tcW w:w="943" w:type="dxa"/>
            <w:noWrap/>
            <w:vAlign w:val="center"/>
          </w:tcPr>
          <w:p w14:paraId="457648B5" w14:textId="2EFBA59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40</w:t>
            </w:r>
          </w:p>
        </w:tc>
        <w:tc>
          <w:tcPr>
            <w:tcW w:w="947" w:type="dxa"/>
            <w:noWrap/>
            <w:vAlign w:val="center"/>
          </w:tcPr>
          <w:p w14:paraId="65D01800" w14:textId="070C207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33</w:t>
            </w:r>
          </w:p>
        </w:tc>
        <w:tc>
          <w:tcPr>
            <w:tcW w:w="720" w:type="dxa"/>
            <w:vAlign w:val="center"/>
          </w:tcPr>
          <w:p w14:paraId="7B35A671" w14:textId="77465F2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w:t>
            </w:r>
          </w:p>
        </w:tc>
        <w:tc>
          <w:tcPr>
            <w:tcW w:w="720" w:type="dxa"/>
            <w:noWrap/>
            <w:vAlign w:val="center"/>
          </w:tcPr>
          <w:p w14:paraId="543F3336" w14:textId="61BE3B6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100</w:t>
            </w:r>
          </w:p>
        </w:tc>
        <w:tc>
          <w:tcPr>
            <w:tcW w:w="720" w:type="dxa"/>
            <w:noWrap/>
            <w:vAlign w:val="center"/>
          </w:tcPr>
          <w:p w14:paraId="179C89B1" w14:textId="59F9DA9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990" w:type="dxa"/>
            <w:noWrap/>
            <w:vAlign w:val="center"/>
          </w:tcPr>
          <w:p w14:paraId="6B5B146E" w14:textId="6143126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1135858A" w14:textId="6526649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w:t>
            </w:r>
          </w:p>
        </w:tc>
        <w:tc>
          <w:tcPr>
            <w:tcW w:w="990" w:type="dxa"/>
            <w:noWrap/>
            <w:vAlign w:val="center"/>
          </w:tcPr>
          <w:p w14:paraId="202BA498" w14:textId="0CEEE1C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60</w:t>
            </w:r>
          </w:p>
        </w:tc>
        <w:tc>
          <w:tcPr>
            <w:tcW w:w="1260" w:type="dxa"/>
            <w:noWrap/>
            <w:vAlign w:val="center"/>
          </w:tcPr>
          <w:p w14:paraId="45560C99" w14:textId="4357999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69</w:t>
            </w:r>
          </w:p>
        </w:tc>
      </w:tr>
      <w:tr w:rsidR="00470980" w:rsidRPr="00F549CC" w14:paraId="3DB66F70" w14:textId="77777777" w:rsidTr="006148C7">
        <w:trPr>
          <w:trHeight w:val="320"/>
        </w:trPr>
        <w:tc>
          <w:tcPr>
            <w:tcW w:w="1260" w:type="dxa"/>
            <w:noWrap/>
            <w:vAlign w:val="center"/>
          </w:tcPr>
          <w:p w14:paraId="3059EBB2" w14:textId="12ABB542"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lastRenderedPageBreak/>
              <w:t>Cabbage</w:t>
            </w:r>
          </w:p>
        </w:tc>
        <w:tc>
          <w:tcPr>
            <w:tcW w:w="943" w:type="dxa"/>
            <w:noWrap/>
            <w:vAlign w:val="center"/>
          </w:tcPr>
          <w:p w14:paraId="04B3CF67" w14:textId="60556D6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44</w:t>
            </w:r>
          </w:p>
        </w:tc>
        <w:tc>
          <w:tcPr>
            <w:tcW w:w="947" w:type="dxa"/>
            <w:noWrap/>
            <w:vAlign w:val="center"/>
          </w:tcPr>
          <w:p w14:paraId="01285DB1" w14:textId="4854079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42</w:t>
            </w:r>
          </w:p>
        </w:tc>
        <w:tc>
          <w:tcPr>
            <w:tcW w:w="720" w:type="dxa"/>
            <w:vAlign w:val="center"/>
          </w:tcPr>
          <w:p w14:paraId="049EF66B" w14:textId="5AB4755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w:t>
            </w:r>
          </w:p>
        </w:tc>
        <w:tc>
          <w:tcPr>
            <w:tcW w:w="720" w:type="dxa"/>
            <w:noWrap/>
            <w:vAlign w:val="center"/>
          </w:tcPr>
          <w:p w14:paraId="6160134E" w14:textId="58064EA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35</w:t>
            </w:r>
          </w:p>
        </w:tc>
        <w:tc>
          <w:tcPr>
            <w:tcW w:w="720" w:type="dxa"/>
            <w:noWrap/>
            <w:vAlign w:val="center"/>
          </w:tcPr>
          <w:p w14:paraId="3DD171AA" w14:textId="0503C0B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61</w:t>
            </w:r>
          </w:p>
        </w:tc>
        <w:tc>
          <w:tcPr>
            <w:tcW w:w="990" w:type="dxa"/>
            <w:noWrap/>
            <w:vAlign w:val="center"/>
          </w:tcPr>
          <w:p w14:paraId="27024C38" w14:textId="7C05363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2DF7844A" w14:textId="6EFD16D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1E32C26F" w14:textId="7E615D7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48</w:t>
            </w:r>
          </w:p>
        </w:tc>
        <w:tc>
          <w:tcPr>
            <w:tcW w:w="1260" w:type="dxa"/>
            <w:noWrap/>
            <w:vAlign w:val="center"/>
          </w:tcPr>
          <w:p w14:paraId="1C59D7BF" w14:textId="784B7CB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69</w:t>
            </w:r>
          </w:p>
        </w:tc>
      </w:tr>
      <w:tr w:rsidR="00470980" w:rsidRPr="00F549CC" w14:paraId="442D6E9C" w14:textId="77777777" w:rsidTr="006148C7">
        <w:trPr>
          <w:trHeight w:val="320"/>
        </w:trPr>
        <w:tc>
          <w:tcPr>
            <w:tcW w:w="1260" w:type="dxa"/>
            <w:noWrap/>
            <w:vAlign w:val="center"/>
          </w:tcPr>
          <w:p w14:paraId="1ADDE63E" w14:textId="02FC5446"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Dove</w:t>
            </w:r>
          </w:p>
        </w:tc>
        <w:tc>
          <w:tcPr>
            <w:tcW w:w="943" w:type="dxa"/>
            <w:noWrap/>
            <w:vAlign w:val="center"/>
          </w:tcPr>
          <w:p w14:paraId="4DD6A819" w14:textId="2539A22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40</w:t>
            </w:r>
          </w:p>
        </w:tc>
        <w:tc>
          <w:tcPr>
            <w:tcW w:w="947" w:type="dxa"/>
            <w:noWrap/>
            <w:vAlign w:val="center"/>
          </w:tcPr>
          <w:p w14:paraId="3EFB9D2D" w14:textId="2F0F5A4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48</w:t>
            </w:r>
          </w:p>
        </w:tc>
        <w:tc>
          <w:tcPr>
            <w:tcW w:w="720" w:type="dxa"/>
            <w:vAlign w:val="center"/>
          </w:tcPr>
          <w:p w14:paraId="55C995DF" w14:textId="7B078D5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w:t>
            </w:r>
          </w:p>
        </w:tc>
        <w:tc>
          <w:tcPr>
            <w:tcW w:w="720" w:type="dxa"/>
            <w:noWrap/>
            <w:vAlign w:val="center"/>
          </w:tcPr>
          <w:p w14:paraId="318773A4" w14:textId="6BC729B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74</w:t>
            </w:r>
          </w:p>
        </w:tc>
        <w:tc>
          <w:tcPr>
            <w:tcW w:w="720" w:type="dxa"/>
            <w:noWrap/>
            <w:vAlign w:val="center"/>
          </w:tcPr>
          <w:p w14:paraId="346C1612" w14:textId="5299025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990" w:type="dxa"/>
            <w:noWrap/>
            <w:vAlign w:val="center"/>
          </w:tcPr>
          <w:p w14:paraId="319792EC" w14:textId="52FC875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5050DE5C" w14:textId="3CE21C5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-18</w:t>
            </w:r>
          </w:p>
        </w:tc>
        <w:tc>
          <w:tcPr>
            <w:tcW w:w="990" w:type="dxa"/>
            <w:noWrap/>
            <w:vAlign w:val="center"/>
          </w:tcPr>
          <w:p w14:paraId="1EEC2E2B" w14:textId="4965B40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60</w:t>
            </w:r>
          </w:p>
        </w:tc>
        <w:tc>
          <w:tcPr>
            <w:tcW w:w="1260" w:type="dxa"/>
            <w:noWrap/>
            <w:vAlign w:val="center"/>
          </w:tcPr>
          <w:p w14:paraId="65B3F791" w14:textId="5DB877D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68</w:t>
            </w:r>
          </w:p>
        </w:tc>
      </w:tr>
      <w:tr w:rsidR="00470980" w:rsidRPr="00F549CC" w14:paraId="6F653DAE" w14:textId="77777777" w:rsidTr="006148C7">
        <w:trPr>
          <w:trHeight w:val="320"/>
        </w:trPr>
        <w:tc>
          <w:tcPr>
            <w:tcW w:w="1260" w:type="dxa"/>
            <w:noWrap/>
            <w:vAlign w:val="center"/>
          </w:tcPr>
          <w:p w14:paraId="1DF936F5" w14:textId="08DB34C7"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Edamame</w:t>
            </w:r>
          </w:p>
        </w:tc>
        <w:tc>
          <w:tcPr>
            <w:tcW w:w="943" w:type="dxa"/>
            <w:noWrap/>
            <w:vAlign w:val="center"/>
          </w:tcPr>
          <w:p w14:paraId="7CBE1823" w14:textId="5C84617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33</w:t>
            </w:r>
          </w:p>
        </w:tc>
        <w:tc>
          <w:tcPr>
            <w:tcW w:w="947" w:type="dxa"/>
            <w:noWrap/>
            <w:vAlign w:val="center"/>
          </w:tcPr>
          <w:p w14:paraId="23B0ED54" w14:textId="5D9B6A9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41</w:t>
            </w:r>
          </w:p>
        </w:tc>
        <w:tc>
          <w:tcPr>
            <w:tcW w:w="720" w:type="dxa"/>
            <w:vAlign w:val="center"/>
          </w:tcPr>
          <w:p w14:paraId="558D77AC" w14:textId="2E551FB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10</w:t>
            </w:r>
          </w:p>
        </w:tc>
        <w:tc>
          <w:tcPr>
            <w:tcW w:w="720" w:type="dxa"/>
            <w:noWrap/>
            <w:vAlign w:val="center"/>
          </w:tcPr>
          <w:p w14:paraId="2F34D841" w14:textId="12AD6DF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55</w:t>
            </w:r>
          </w:p>
        </w:tc>
        <w:tc>
          <w:tcPr>
            <w:tcW w:w="720" w:type="dxa"/>
            <w:noWrap/>
            <w:vAlign w:val="center"/>
          </w:tcPr>
          <w:p w14:paraId="1958F621" w14:textId="225F899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51</w:t>
            </w:r>
          </w:p>
        </w:tc>
        <w:tc>
          <w:tcPr>
            <w:tcW w:w="990" w:type="dxa"/>
            <w:noWrap/>
            <w:vAlign w:val="center"/>
          </w:tcPr>
          <w:p w14:paraId="04E71287" w14:textId="462D89C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50907C06" w14:textId="5C0B1B5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2FBE83E9" w14:textId="3124AB1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48</w:t>
            </w:r>
          </w:p>
        </w:tc>
        <w:tc>
          <w:tcPr>
            <w:tcW w:w="1260" w:type="dxa"/>
            <w:noWrap/>
            <w:vAlign w:val="center"/>
          </w:tcPr>
          <w:p w14:paraId="3AD74455" w14:textId="66C4DDC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68</w:t>
            </w:r>
          </w:p>
        </w:tc>
      </w:tr>
      <w:tr w:rsidR="00470980" w:rsidRPr="00F549CC" w14:paraId="7375193C" w14:textId="77777777" w:rsidTr="006148C7">
        <w:trPr>
          <w:trHeight w:val="320"/>
        </w:trPr>
        <w:tc>
          <w:tcPr>
            <w:tcW w:w="1260" w:type="dxa"/>
            <w:noWrap/>
            <w:vAlign w:val="center"/>
          </w:tcPr>
          <w:p w14:paraId="19FC1D05" w14:textId="297C4919"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Rabbit</w:t>
            </w:r>
          </w:p>
        </w:tc>
        <w:tc>
          <w:tcPr>
            <w:tcW w:w="943" w:type="dxa"/>
            <w:noWrap/>
            <w:vAlign w:val="center"/>
          </w:tcPr>
          <w:p w14:paraId="77F2165D" w14:textId="200D13F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42</w:t>
            </w:r>
          </w:p>
        </w:tc>
        <w:tc>
          <w:tcPr>
            <w:tcW w:w="947" w:type="dxa"/>
            <w:noWrap/>
            <w:vAlign w:val="center"/>
          </w:tcPr>
          <w:p w14:paraId="1D50EDEA" w14:textId="30C3699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33</w:t>
            </w:r>
          </w:p>
        </w:tc>
        <w:tc>
          <w:tcPr>
            <w:tcW w:w="720" w:type="dxa"/>
            <w:vAlign w:val="center"/>
          </w:tcPr>
          <w:p w14:paraId="44C3F4B6" w14:textId="53B743B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w:t>
            </w:r>
          </w:p>
        </w:tc>
        <w:tc>
          <w:tcPr>
            <w:tcW w:w="720" w:type="dxa"/>
            <w:noWrap/>
            <w:vAlign w:val="center"/>
          </w:tcPr>
          <w:p w14:paraId="2C8FC7A1" w14:textId="38AD863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95</w:t>
            </w:r>
          </w:p>
        </w:tc>
        <w:tc>
          <w:tcPr>
            <w:tcW w:w="720" w:type="dxa"/>
            <w:noWrap/>
            <w:vAlign w:val="center"/>
          </w:tcPr>
          <w:p w14:paraId="22EA3957" w14:textId="7403CC4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990" w:type="dxa"/>
            <w:noWrap/>
            <w:vAlign w:val="center"/>
          </w:tcPr>
          <w:p w14:paraId="0EA68DE2" w14:textId="50C135E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6C109BE6" w14:textId="1F3EDFD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-13</w:t>
            </w:r>
          </w:p>
        </w:tc>
        <w:tc>
          <w:tcPr>
            <w:tcW w:w="990" w:type="dxa"/>
            <w:noWrap/>
            <w:vAlign w:val="center"/>
          </w:tcPr>
          <w:p w14:paraId="269DD153" w14:textId="4A1D7ED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60</w:t>
            </w:r>
          </w:p>
        </w:tc>
        <w:tc>
          <w:tcPr>
            <w:tcW w:w="1260" w:type="dxa"/>
            <w:noWrap/>
            <w:vAlign w:val="center"/>
          </w:tcPr>
          <w:p w14:paraId="0F7415CD" w14:textId="6898BCA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68</w:t>
            </w:r>
          </w:p>
        </w:tc>
      </w:tr>
      <w:tr w:rsidR="00470980" w:rsidRPr="00F549CC" w14:paraId="1B449576" w14:textId="77777777" w:rsidTr="006148C7">
        <w:trPr>
          <w:trHeight w:val="320"/>
        </w:trPr>
        <w:tc>
          <w:tcPr>
            <w:tcW w:w="1260" w:type="dxa"/>
            <w:noWrap/>
            <w:vAlign w:val="center"/>
          </w:tcPr>
          <w:p w14:paraId="6E5602BD" w14:textId="468925E2"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Red beans</w:t>
            </w:r>
          </w:p>
        </w:tc>
        <w:tc>
          <w:tcPr>
            <w:tcW w:w="943" w:type="dxa"/>
            <w:noWrap/>
            <w:vAlign w:val="center"/>
          </w:tcPr>
          <w:p w14:paraId="74B3F4BC" w14:textId="167F2E3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32</w:t>
            </w:r>
          </w:p>
        </w:tc>
        <w:tc>
          <w:tcPr>
            <w:tcW w:w="947" w:type="dxa"/>
            <w:noWrap/>
            <w:vAlign w:val="center"/>
          </w:tcPr>
          <w:p w14:paraId="36C0B5AD" w14:textId="281BAE2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33</w:t>
            </w:r>
          </w:p>
        </w:tc>
        <w:tc>
          <w:tcPr>
            <w:tcW w:w="720" w:type="dxa"/>
            <w:vAlign w:val="center"/>
          </w:tcPr>
          <w:p w14:paraId="1A067E8C" w14:textId="48F5937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12</w:t>
            </w:r>
          </w:p>
        </w:tc>
        <w:tc>
          <w:tcPr>
            <w:tcW w:w="720" w:type="dxa"/>
            <w:noWrap/>
            <w:vAlign w:val="center"/>
          </w:tcPr>
          <w:p w14:paraId="06318C64" w14:textId="10263E8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41</w:t>
            </w:r>
          </w:p>
        </w:tc>
        <w:tc>
          <w:tcPr>
            <w:tcW w:w="720" w:type="dxa"/>
            <w:noWrap/>
            <w:vAlign w:val="center"/>
          </w:tcPr>
          <w:p w14:paraId="35E38F67" w14:textId="2638964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81</w:t>
            </w:r>
          </w:p>
        </w:tc>
        <w:tc>
          <w:tcPr>
            <w:tcW w:w="990" w:type="dxa"/>
            <w:noWrap/>
            <w:vAlign w:val="center"/>
          </w:tcPr>
          <w:p w14:paraId="7601294C" w14:textId="63EA239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43F8BB59" w14:textId="2863629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259A425F" w14:textId="07CA30C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40</w:t>
            </w:r>
          </w:p>
        </w:tc>
        <w:tc>
          <w:tcPr>
            <w:tcW w:w="1260" w:type="dxa"/>
            <w:noWrap/>
            <w:vAlign w:val="center"/>
          </w:tcPr>
          <w:p w14:paraId="29F0F06F" w14:textId="72BEB1D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66</w:t>
            </w:r>
          </w:p>
        </w:tc>
      </w:tr>
      <w:tr w:rsidR="00470980" w:rsidRPr="00F549CC" w14:paraId="14636D35" w14:textId="77777777" w:rsidTr="006148C7">
        <w:trPr>
          <w:trHeight w:val="320"/>
        </w:trPr>
        <w:tc>
          <w:tcPr>
            <w:tcW w:w="1260" w:type="dxa"/>
            <w:noWrap/>
            <w:vAlign w:val="center"/>
          </w:tcPr>
          <w:p w14:paraId="3126A01E" w14:textId="18B953A2"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Sunflower seeds</w:t>
            </w:r>
          </w:p>
        </w:tc>
        <w:tc>
          <w:tcPr>
            <w:tcW w:w="943" w:type="dxa"/>
            <w:noWrap/>
            <w:vAlign w:val="center"/>
          </w:tcPr>
          <w:p w14:paraId="31D966FB" w14:textId="18CA2F1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52</w:t>
            </w:r>
          </w:p>
        </w:tc>
        <w:tc>
          <w:tcPr>
            <w:tcW w:w="947" w:type="dxa"/>
            <w:noWrap/>
            <w:vAlign w:val="center"/>
          </w:tcPr>
          <w:p w14:paraId="7C507AFB" w14:textId="1F7E4D6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59</w:t>
            </w:r>
          </w:p>
        </w:tc>
        <w:tc>
          <w:tcPr>
            <w:tcW w:w="720" w:type="dxa"/>
            <w:vAlign w:val="center"/>
          </w:tcPr>
          <w:p w14:paraId="368ADA2F" w14:textId="4B6BD7B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w:t>
            </w:r>
          </w:p>
        </w:tc>
        <w:tc>
          <w:tcPr>
            <w:tcW w:w="720" w:type="dxa"/>
            <w:noWrap/>
            <w:vAlign w:val="center"/>
          </w:tcPr>
          <w:p w14:paraId="07E0FF3D" w14:textId="033F278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41</w:t>
            </w:r>
          </w:p>
        </w:tc>
        <w:tc>
          <w:tcPr>
            <w:tcW w:w="720" w:type="dxa"/>
            <w:noWrap/>
            <w:vAlign w:val="center"/>
          </w:tcPr>
          <w:p w14:paraId="5DAC898C" w14:textId="28DD1C2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62</w:t>
            </w:r>
          </w:p>
        </w:tc>
        <w:tc>
          <w:tcPr>
            <w:tcW w:w="990" w:type="dxa"/>
            <w:noWrap/>
            <w:vAlign w:val="center"/>
          </w:tcPr>
          <w:p w14:paraId="3F259727" w14:textId="458E968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5DF676CC" w14:textId="0A32BCE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-98</w:t>
            </w:r>
          </w:p>
        </w:tc>
        <w:tc>
          <w:tcPr>
            <w:tcW w:w="990" w:type="dxa"/>
            <w:noWrap/>
            <w:vAlign w:val="center"/>
          </w:tcPr>
          <w:p w14:paraId="20247E19" w14:textId="5784977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61</w:t>
            </w:r>
          </w:p>
        </w:tc>
        <w:tc>
          <w:tcPr>
            <w:tcW w:w="1260" w:type="dxa"/>
            <w:noWrap/>
            <w:vAlign w:val="center"/>
          </w:tcPr>
          <w:p w14:paraId="33065123" w14:textId="14B2C17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65</w:t>
            </w:r>
          </w:p>
        </w:tc>
      </w:tr>
      <w:tr w:rsidR="00470980" w:rsidRPr="00F549CC" w14:paraId="3B5ADD29" w14:textId="77777777" w:rsidTr="006148C7">
        <w:trPr>
          <w:trHeight w:val="320"/>
        </w:trPr>
        <w:tc>
          <w:tcPr>
            <w:tcW w:w="1260" w:type="dxa"/>
            <w:noWrap/>
            <w:vAlign w:val="center"/>
          </w:tcPr>
          <w:p w14:paraId="4561344A" w14:textId="28B5A06B"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Beef</w:t>
            </w:r>
          </w:p>
        </w:tc>
        <w:tc>
          <w:tcPr>
            <w:tcW w:w="943" w:type="dxa"/>
            <w:noWrap/>
            <w:vAlign w:val="center"/>
          </w:tcPr>
          <w:p w14:paraId="3D1FD0E7" w14:textId="5AD7F1B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35</w:t>
            </w:r>
          </w:p>
        </w:tc>
        <w:tc>
          <w:tcPr>
            <w:tcW w:w="947" w:type="dxa"/>
            <w:noWrap/>
            <w:vAlign w:val="center"/>
          </w:tcPr>
          <w:p w14:paraId="089DF57A" w14:textId="29604F2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43</w:t>
            </w:r>
          </w:p>
        </w:tc>
        <w:tc>
          <w:tcPr>
            <w:tcW w:w="720" w:type="dxa"/>
            <w:vAlign w:val="center"/>
          </w:tcPr>
          <w:p w14:paraId="2EDF0EB5" w14:textId="6EC9269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w:t>
            </w:r>
          </w:p>
        </w:tc>
        <w:tc>
          <w:tcPr>
            <w:tcW w:w="720" w:type="dxa"/>
            <w:noWrap/>
            <w:vAlign w:val="center"/>
          </w:tcPr>
          <w:p w14:paraId="3E43F0DF" w14:textId="35DA5B2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77</w:t>
            </w:r>
          </w:p>
        </w:tc>
        <w:tc>
          <w:tcPr>
            <w:tcW w:w="720" w:type="dxa"/>
            <w:noWrap/>
            <w:vAlign w:val="center"/>
          </w:tcPr>
          <w:p w14:paraId="4F7C80EA" w14:textId="14E6C69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990" w:type="dxa"/>
            <w:noWrap/>
            <w:vAlign w:val="center"/>
          </w:tcPr>
          <w:p w14:paraId="766A6C0B" w14:textId="745DAB9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98</w:t>
            </w:r>
          </w:p>
        </w:tc>
        <w:tc>
          <w:tcPr>
            <w:tcW w:w="900" w:type="dxa"/>
            <w:vAlign w:val="center"/>
          </w:tcPr>
          <w:p w14:paraId="364529BA" w14:textId="488D32D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-29</w:t>
            </w:r>
          </w:p>
        </w:tc>
        <w:tc>
          <w:tcPr>
            <w:tcW w:w="990" w:type="dxa"/>
            <w:noWrap/>
            <w:vAlign w:val="center"/>
          </w:tcPr>
          <w:p w14:paraId="6BBFD66F" w14:textId="6BE48B1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55</w:t>
            </w:r>
          </w:p>
        </w:tc>
        <w:tc>
          <w:tcPr>
            <w:tcW w:w="1260" w:type="dxa"/>
            <w:noWrap/>
            <w:vAlign w:val="center"/>
          </w:tcPr>
          <w:p w14:paraId="39924481" w14:textId="39B7FC0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62</w:t>
            </w:r>
          </w:p>
        </w:tc>
      </w:tr>
      <w:tr w:rsidR="00470980" w:rsidRPr="00F549CC" w14:paraId="5DB6224E" w14:textId="77777777" w:rsidTr="006148C7">
        <w:trPr>
          <w:trHeight w:val="320"/>
        </w:trPr>
        <w:tc>
          <w:tcPr>
            <w:tcW w:w="1260" w:type="dxa"/>
            <w:noWrap/>
            <w:vAlign w:val="center"/>
          </w:tcPr>
          <w:p w14:paraId="27E32EA2" w14:textId="624C146C"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Green pepper</w:t>
            </w:r>
          </w:p>
        </w:tc>
        <w:tc>
          <w:tcPr>
            <w:tcW w:w="943" w:type="dxa"/>
            <w:noWrap/>
            <w:vAlign w:val="center"/>
          </w:tcPr>
          <w:p w14:paraId="5180D44B" w14:textId="1BB84D7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33</w:t>
            </w:r>
          </w:p>
        </w:tc>
        <w:tc>
          <w:tcPr>
            <w:tcW w:w="947" w:type="dxa"/>
            <w:noWrap/>
            <w:vAlign w:val="center"/>
          </w:tcPr>
          <w:p w14:paraId="565D1A1C" w14:textId="088002E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34</w:t>
            </w:r>
          </w:p>
        </w:tc>
        <w:tc>
          <w:tcPr>
            <w:tcW w:w="720" w:type="dxa"/>
            <w:vAlign w:val="center"/>
          </w:tcPr>
          <w:p w14:paraId="4CBF8E58" w14:textId="31FD293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720" w:type="dxa"/>
            <w:noWrap/>
            <w:vAlign w:val="center"/>
          </w:tcPr>
          <w:p w14:paraId="6BC4AE91" w14:textId="582425F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34</w:t>
            </w:r>
          </w:p>
        </w:tc>
        <w:tc>
          <w:tcPr>
            <w:tcW w:w="720" w:type="dxa"/>
            <w:noWrap/>
            <w:vAlign w:val="center"/>
          </w:tcPr>
          <w:p w14:paraId="7369E064" w14:textId="7DD2150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69</w:t>
            </w:r>
          </w:p>
        </w:tc>
        <w:tc>
          <w:tcPr>
            <w:tcW w:w="990" w:type="dxa"/>
            <w:noWrap/>
            <w:vAlign w:val="center"/>
          </w:tcPr>
          <w:p w14:paraId="3FD255F0" w14:textId="7F7E922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479F4BED" w14:textId="35B8BFF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0337AA8A" w14:textId="0BA89D8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37</w:t>
            </w:r>
          </w:p>
        </w:tc>
        <w:tc>
          <w:tcPr>
            <w:tcW w:w="1260" w:type="dxa"/>
            <w:noWrap/>
            <w:vAlign w:val="center"/>
          </w:tcPr>
          <w:p w14:paraId="09961527" w14:textId="5EB00C1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62</w:t>
            </w:r>
          </w:p>
        </w:tc>
      </w:tr>
      <w:tr w:rsidR="00470980" w:rsidRPr="00F549CC" w14:paraId="393A1E54" w14:textId="77777777" w:rsidTr="006148C7">
        <w:trPr>
          <w:trHeight w:val="320"/>
        </w:trPr>
        <w:tc>
          <w:tcPr>
            <w:tcW w:w="1260" w:type="dxa"/>
            <w:noWrap/>
            <w:vAlign w:val="center"/>
          </w:tcPr>
          <w:p w14:paraId="2F4EF075" w14:textId="22CDF76D"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Radish</w:t>
            </w:r>
          </w:p>
        </w:tc>
        <w:tc>
          <w:tcPr>
            <w:tcW w:w="943" w:type="dxa"/>
            <w:noWrap/>
            <w:vAlign w:val="center"/>
          </w:tcPr>
          <w:p w14:paraId="026B72CD" w14:textId="5299D53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29</w:t>
            </w:r>
          </w:p>
        </w:tc>
        <w:tc>
          <w:tcPr>
            <w:tcW w:w="947" w:type="dxa"/>
            <w:noWrap/>
            <w:vAlign w:val="center"/>
          </w:tcPr>
          <w:p w14:paraId="6F1FE216" w14:textId="729620F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41</w:t>
            </w:r>
          </w:p>
        </w:tc>
        <w:tc>
          <w:tcPr>
            <w:tcW w:w="720" w:type="dxa"/>
            <w:vAlign w:val="center"/>
          </w:tcPr>
          <w:p w14:paraId="35314800" w14:textId="047B3FC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720" w:type="dxa"/>
            <w:noWrap/>
            <w:vAlign w:val="center"/>
          </w:tcPr>
          <w:p w14:paraId="3EA408E2" w14:textId="0749A66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34</w:t>
            </w:r>
          </w:p>
        </w:tc>
        <w:tc>
          <w:tcPr>
            <w:tcW w:w="720" w:type="dxa"/>
            <w:noWrap/>
            <w:vAlign w:val="center"/>
          </w:tcPr>
          <w:p w14:paraId="35F59A9F" w14:textId="2F81AEB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62</w:t>
            </w:r>
          </w:p>
        </w:tc>
        <w:tc>
          <w:tcPr>
            <w:tcW w:w="990" w:type="dxa"/>
            <w:noWrap/>
            <w:vAlign w:val="center"/>
          </w:tcPr>
          <w:p w14:paraId="2A399B68" w14:textId="1D18482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77827804" w14:textId="4795817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7F0BAFDB" w14:textId="4D94CF5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39</w:t>
            </w:r>
          </w:p>
        </w:tc>
        <w:tc>
          <w:tcPr>
            <w:tcW w:w="1260" w:type="dxa"/>
            <w:noWrap/>
            <w:vAlign w:val="center"/>
          </w:tcPr>
          <w:p w14:paraId="7E6664E8" w14:textId="60E3AC1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62</w:t>
            </w:r>
          </w:p>
        </w:tc>
      </w:tr>
      <w:tr w:rsidR="00470980" w:rsidRPr="00F549CC" w14:paraId="38ED94AD" w14:textId="77777777" w:rsidTr="006148C7">
        <w:trPr>
          <w:trHeight w:val="320"/>
        </w:trPr>
        <w:tc>
          <w:tcPr>
            <w:tcW w:w="1260" w:type="dxa"/>
            <w:noWrap/>
            <w:vAlign w:val="center"/>
          </w:tcPr>
          <w:p w14:paraId="05AA54B6" w14:textId="194D42D3"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Mung beans</w:t>
            </w:r>
          </w:p>
        </w:tc>
        <w:tc>
          <w:tcPr>
            <w:tcW w:w="943" w:type="dxa"/>
            <w:noWrap/>
            <w:vAlign w:val="center"/>
          </w:tcPr>
          <w:p w14:paraId="72807593" w14:textId="44095E0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24</w:t>
            </w:r>
          </w:p>
        </w:tc>
        <w:tc>
          <w:tcPr>
            <w:tcW w:w="947" w:type="dxa"/>
            <w:noWrap/>
            <w:vAlign w:val="center"/>
          </w:tcPr>
          <w:p w14:paraId="452B6FBA" w14:textId="366960C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27</w:t>
            </w:r>
          </w:p>
        </w:tc>
        <w:tc>
          <w:tcPr>
            <w:tcW w:w="720" w:type="dxa"/>
            <w:vAlign w:val="center"/>
          </w:tcPr>
          <w:p w14:paraId="2E6A1EFE" w14:textId="03B18BA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11</w:t>
            </w:r>
          </w:p>
        </w:tc>
        <w:tc>
          <w:tcPr>
            <w:tcW w:w="720" w:type="dxa"/>
            <w:noWrap/>
            <w:vAlign w:val="center"/>
          </w:tcPr>
          <w:p w14:paraId="3833C9BF" w14:textId="4D4760B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45</w:t>
            </w:r>
          </w:p>
        </w:tc>
        <w:tc>
          <w:tcPr>
            <w:tcW w:w="720" w:type="dxa"/>
            <w:noWrap/>
            <w:vAlign w:val="center"/>
          </w:tcPr>
          <w:p w14:paraId="35CF6533" w14:textId="4655CDD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80</w:t>
            </w:r>
          </w:p>
        </w:tc>
        <w:tc>
          <w:tcPr>
            <w:tcW w:w="990" w:type="dxa"/>
            <w:noWrap/>
            <w:vAlign w:val="center"/>
          </w:tcPr>
          <w:p w14:paraId="706A33EF" w14:textId="64C6223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2405A982" w14:textId="201AAC6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355752EF" w14:textId="3A540BB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34</w:t>
            </w:r>
          </w:p>
        </w:tc>
        <w:tc>
          <w:tcPr>
            <w:tcW w:w="1260" w:type="dxa"/>
            <w:noWrap/>
            <w:vAlign w:val="center"/>
          </w:tcPr>
          <w:p w14:paraId="72155F15" w14:textId="455306D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62</w:t>
            </w:r>
          </w:p>
        </w:tc>
      </w:tr>
      <w:tr w:rsidR="00470980" w:rsidRPr="00F549CC" w14:paraId="0C299C71" w14:textId="77777777" w:rsidTr="006148C7">
        <w:trPr>
          <w:trHeight w:val="320"/>
        </w:trPr>
        <w:tc>
          <w:tcPr>
            <w:tcW w:w="1260" w:type="dxa"/>
            <w:noWrap/>
            <w:vAlign w:val="center"/>
          </w:tcPr>
          <w:p w14:paraId="0D6D87D8" w14:textId="1D3AFE6A"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Lamb</w:t>
            </w:r>
          </w:p>
        </w:tc>
        <w:tc>
          <w:tcPr>
            <w:tcW w:w="943" w:type="dxa"/>
            <w:noWrap/>
            <w:vAlign w:val="center"/>
          </w:tcPr>
          <w:p w14:paraId="3E011886" w14:textId="7B3EEFD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37</w:t>
            </w:r>
          </w:p>
        </w:tc>
        <w:tc>
          <w:tcPr>
            <w:tcW w:w="947" w:type="dxa"/>
            <w:noWrap/>
            <w:vAlign w:val="center"/>
          </w:tcPr>
          <w:p w14:paraId="4B16A937" w14:textId="3883E1F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38</w:t>
            </w:r>
          </w:p>
        </w:tc>
        <w:tc>
          <w:tcPr>
            <w:tcW w:w="720" w:type="dxa"/>
            <w:vAlign w:val="center"/>
          </w:tcPr>
          <w:p w14:paraId="3F668955" w14:textId="367FEED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720" w:type="dxa"/>
            <w:noWrap/>
            <w:vAlign w:val="center"/>
          </w:tcPr>
          <w:p w14:paraId="5BAF605D" w14:textId="64FA4D2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77</w:t>
            </w:r>
          </w:p>
        </w:tc>
        <w:tc>
          <w:tcPr>
            <w:tcW w:w="720" w:type="dxa"/>
            <w:noWrap/>
            <w:vAlign w:val="center"/>
          </w:tcPr>
          <w:p w14:paraId="7210AB7F" w14:textId="716DA61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990" w:type="dxa"/>
            <w:noWrap/>
            <w:vAlign w:val="center"/>
          </w:tcPr>
          <w:p w14:paraId="04900D91" w14:textId="168A3FB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98</w:t>
            </w:r>
          </w:p>
        </w:tc>
        <w:tc>
          <w:tcPr>
            <w:tcW w:w="900" w:type="dxa"/>
            <w:vAlign w:val="center"/>
          </w:tcPr>
          <w:p w14:paraId="4AD1C754" w14:textId="50BB042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-26</w:t>
            </w:r>
          </w:p>
        </w:tc>
        <w:tc>
          <w:tcPr>
            <w:tcW w:w="990" w:type="dxa"/>
            <w:noWrap/>
            <w:vAlign w:val="center"/>
          </w:tcPr>
          <w:p w14:paraId="256532D8" w14:textId="319B409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54</w:t>
            </w:r>
          </w:p>
        </w:tc>
        <w:tc>
          <w:tcPr>
            <w:tcW w:w="1260" w:type="dxa"/>
            <w:noWrap/>
            <w:vAlign w:val="center"/>
          </w:tcPr>
          <w:p w14:paraId="365C40AA" w14:textId="2C0A5E7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62</w:t>
            </w:r>
          </w:p>
        </w:tc>
      </w:tr>
      <w:tr w:rsidR="00470980" w:rsidRPr="00F549CC" w14:paraId="644E1650" w14:textId="77777777" w:rsidTr="006148C7">
        <w:trPr>
          <w:trHeight w:val="320"/>
        </w:trPr>
        <w:tc>
          <w:tcPr>
            <w:tcW w:w="1260" w:type="dxa"/>
            <w:noWrap/>
            <w:vAlign w:val="center"/>
          </w:tcPr>
          <w:p w14:paraId="336356FF" w14:textId="24D7B5A2"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Green beans</w:t>
            </w:r>
          </w:p>
        </w:tc>
        <w:tc>
          <w:tcPr>
            <w:tcW w:w="943" w:type="dxa"/>
            <w:noWrap/>
            <w:vAlign w:val="center"/>
          </w:tcPr>
          <w:p w14:paraId="050D341B" w14:textId="025FC1A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35</w:t>
            </w:r>
          </w:p>
        </w:tc>
        <w:tc>
          <w:tcPr>
            <w:tcW w:w="947" w:type="dxa"/>
            <w:noWrap/>
            <w:vAlign w:val="center"/>
          </w:tcPr>
          <w:p w14:paraId="66949D83" w14:textId="2E93CC5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27</w:t>
            </w:r>
          </w:p>
        </w:tc>
        <w:tc>
          <w:tcPr>
            <w:tcW w:w="720" w:type="dxa"/>
            <w:vAlign w:val="center"/>
          </w:tcPr>
          <w:p w14:paraId="6E6BA326" w14:textId="771264A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w:t>
            </w:r>
          </w:p>
        </w:tc>
        <w:tc>
          <w:tcPr>
            <w:tcW w:w="720" w:type="dxa"/>
            <w:noWrap/>
            <w:vAlign w:val="center"/>
          </w:tcPr>
          <w:p w14:paraId="325ECC9C" w14:textId="17ABEC4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35</w:t>
            </w:r>
          </w:p>
        </w:tc>
        <w:tc>
          <w:tcPr>
            <w:tcW w:w="720" w:type="dxa"/>
            <w:noWrap/>
            <w:vAlign w:val="center"/>
          </w:tcPr>
          <w:p w14:paraId="79DC5469" w14:textId="39942DA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68</w:t>
            </w:r>
          </w:p>
        </w:tc>
        <w:tc>
          <w:tcPr>
            <w:tcW w:w="990" w:type="dxa"/>
            <w:noWrap/>
            <w:vAlign w:val="center"/>
          </w:tcPr>
          <w:p w14:paraId="149F34E3" w14:textId="04A7E23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5202BEF2" w14:textId="379E389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3ABC9BCB" w14:textId="4BECCB5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36</w:t>
            </w:r>
          </w:p>
        </w:tc>
        <w:tc>
          <w:tcPr>
            <w:tcW w:w="1260" w:type="dxa"/>
            <w:noWrap/>
            <w:vAlign w:val="center"/>
          </w:tcPr>
          <w:p w14:paraId="70B17E7B" w14:textId="5640EEE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61</w:t>
            </w:r>
          </w:p>
        </w:tc>
      </w:tr>
      <w:tr w:rsidR="00470980" w:rsidRPr="00F549CC" w14:paraId="0DCD2712" w14:textId="77777777" w:rsidTr="006148C7">
        <w:trPr>
          <w:trHeight w:val="320"/>
        </w:trPr>
        <w:tc>
          <w:tcPr>
            <w:tcW w:w="1260" w:type="dxa"/>
            <w:noWrap/>
            <w:vAlign w:val="center"/>
          </w:tcPr>
          <w:p w14:paraId="22BAEEFB" w14:textId="141A76F4"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Tree fern</w:t>
            </w:r>
          </w:p>
        </w:tc>
        <w:tc>
          <w:tcPr>
            <w:tcW w:w="943" w:type="dxa"/>
            <w:noWrap/>
            <w:vAlign w:val="center"/>
          </w:tcPr>
          <w:p w14:paraId="786EC695" w14:textId="5652305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46</w:t>
            </w:r>
          </w:p>
        </w:tc>
        <w:tc>
          <w:tcPr>
            <w:tcW w:w="947" w:type="dxa"/>
            <w:noWrap/>
            <w:vAlign w:val="center"/>
          </w:tcPr>
          <w:p w14:paraId="4CC53332" w14:textId="2A15D20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w:t>
            </w:r>
          </w:p>
        </w:tc>
        <w:tc>
          <w:tcPr>
            <w:tcW w:w="720" w:type="dxa"/>
            <w:vAlign w:val="center"/>
          </w:tcPr>
          <w:p w14:paraId="4449E2C0" w14:textId="222613A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w:t>
            </w:r>
          </w:p>
        </w:tc>
        <w:tc>
          <w:tcPr>
            <w:tcW w:w="720" w:type="dxa"/>
            <w:noWrap/>
            <w:vAlign w:val="center"/>
          </w:tcPr>
          <w:p w14:paraId="618CB491" w14:textId="29CCDCB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50</w:t>
            </w:r>
          </w:p>
        </w:tc>
        <w:tc>
          <w:tcPr>
            <w:tcW w:w="720" w:type="dxa"/>
            <w:noWrap/>
            <w:vAlign w:val="center"/>
          </w:tcPr>
          <w:p w14:paraId="6DF81031" w14:textId="333C134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71</w:t>
            </w:r>
          </w:p>
        </w:tc>
        <w:tc>
          <w:tcPr>
            <w:tcW w:w="990" w:type="dxa"/>
            <w:noWrap/>
            <w:vAlign w:val="center"/>
          </w:tcPr>
          <w:p w14:paraId="609208C2" w14:textId="22BD3B0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98</w:t>
            </w:r>
          </w:p>
        </w:tc>
        <w:tc>
          <w:tcPr>
            <w:tcW w:w="900" w:type="dxa"/>
            <w:vAlign w:val="center"/>
          </w:tcPr>
          <w:p w14:paraId="72D373BF" w14:textId="508D5A8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5D66D5F6" w14:textId="59D6934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35</w:t>
            </w:r>
          </w:p>
        </w:tc>
        <w:tc>
          <w:tcPr>
            <w:tcW w:w="1260" w:type="dxa"/>
            <w:noWrap/>
            <w:vAlign w:val="center"/>
          </w:tcPr>
          <w:p w14:paraId="4D2B3641" w14:textId="17DC16E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61</w:t>
            </w:r>
          </w:p>
        </w:tc>
      </w:tr>
      <w:tr w:rsidR="00470980" w:rsidRPr="00F549CC" w14:paraId="5A4ED524" w14:textId="77777777" w:rsidTr="006148C7">
        <w:trPr>
          <w:trHeight w:val="320"/>
        </w:trPr>
        <w:tc>
          <w:tcPr>
            <w:tcW w:w="1260" w:type="dxa"/>
            <w:noWrap/>
            <w:vAlign w:val="center"/>
          </w:tcPr>
          <w:p w14:paraId="12608DA5" w14:textId="71668FA6"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Tomatoes</w:t>
            </w:r>
          </w:p>
        </w:tc>
        <w:tc>
          <w:tcPr>
            <w:tcW w:w="943" w:type="dxa"/>
            <w:noWrap/>
            <w:vAlign w:val="center"/>
          </w:tcPr>
          <w:p w14:paraId="1D26BDF2" w14:textId="06A1D25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40</w:t>
            </w:r>
          </w:p>
        </w:tc>
        <w:tc>
          <w:tcPr>
            <w:tcW w:w="947" w:type="dxa"/>
            <w:noWrap/>
            <w:vAlign w:val="center"/>
          </w:tcPr>
          <w:p w14:paraId="7251BFEF" w14:textId="090DF60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35</w:t>
            </w:r>
          </w:p>
        </w:tc>
        <w:tc>
          <w:tcPr>
            <w:tcW w:w="720" w:type="dxa"/>
            <w:vAlign w:val="center"/>
          </w:tcPr>
          <w:p w14:paraId="453D178E" w14:textId="77A4D99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w:t>
            </w:r>
          </w:p>
        </w:tc>
        <w:tc>
          <w:tcPr>
            <w:tcW w:w="720" w:type="dxa"/>
            <w:noWrap/>
            <w:vAlign w:val="center"/>
          </w:tcPr>
          <w:p w14:paraId="53BD736F" w14:textId="0A3B53C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33</w:t>
            </w:r>
          </w:p>
        </w:tc>
        <w:tc>
          <w:tcPr>
            <w:tcW w:w="720" w:type="dxa"/>
            <w:noWrap/>
            <w:vAlign w:val="center"/>
          </w:tcPr>
          <w:p w14:paraId="260242CA" w14:textId="210A243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33</w:t>
            </w:r>
          </w:p>
        </w:tc>
        <w:tc>
          <w:tcPr>
            <w:tcW w:w="990" w:type="dxa"/>
            <w:noWrap/>
            <w:vAlign w:val="center"/>
          </w:tcPr>
          <w:p w14:paraId="3FC91494" w14:textId="1D1BC51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98</w:t>
            </w:r>
          </w:p>
        </w:tc>
        <w:tc>
          <w:tcPr>
            <w:tcW w:w="900" w:type="dxa"/>
            <w:vAlign w:val="center"/>
          </w:tcPr>
          <w:p w14:paraId="38863811" w14:textId="4D64FA4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20273966" w14:textId="35E1E6A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42</w:t>
            </w:r>
          </w:p>
        </w:tc>
        <w:tc>
          <w:tcPr>
            <w:tcW w:w="1260" w:type="dxa"/>
            <w:noWrap/>
            <w:vAlign w:val="center"/>
          </w:tcPr>
          <w:p w14:paraId="1BD1CA69" w14:textId="365AA0B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61</w:t>
            </w:r>
          </w:p>
        </w:tc>
      </w:tr>
      <w:tr w:rsidR="00470980" w:rsidRPr="00F549CC" w14:paraId="7FF51FD2" w14:textId="77777777" w:rsidTr="006148C7">
        <w:trPr>
          <w:trHeight w:val="320"/>
        </w:trPr>
        <w:tc>
          <w:tcPr>
            <w:tcW w:w="1260" w:type="dxa"/>
            <w:noWrap/>
            <w:vAlign w:val="center"/>
          </w:tcPr>
          <w:p w14:paraId="1D53AC5C" w14:textId="4DD42C40"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Pumpkin</w:t>
            </w:r>
          </w:p>
        </w:tc>
        <w:tc>
          <w:tcPr>
            <w:tcW w:w="943" w:type="dxa"/>
            <w:noWrap/>
            <w:vAlign w:val="center"/>
          </w:tcPr>
          <w:p w14:paraId="2E07F694" w14:textId="5FB26DB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45</w:t>
            </w:r>
          </w:p>
        </w:tc>
        <w:tc>
          <w:tcPr>
            <w:tcW w:w="947" w:type="dxa"/>
            <w:noWrap/>
            <w:vAlign w:val="center"/>
          </w:tcPr>
          <w:p w14:paraId="028B453D" w14:textId="5B26DBF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39</w:t>
            </w:r>
          </w:p>
        </w:tc>
        <w:tc>
          <w:tcPr>
            <w:tcW w:w="720" w:type="dxa"/>
            <w:vAlign w:val="center"/>
          </w:tcPr>
          <w:p w14:paraId="33EBF4DA" w14:textId="7CD27E0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720" w:type="dxa"/>
            <w:noWrap/>
            <w:vAlign w:val="center"/>
          </w:tcPr>
          <w:p w14:paraId="7E1D11CE" w14:textId="323AD6A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32</w:t>
            </w:r>
          </w:p>
        </w:tc>
        <w:tc>
          <w:tcPr>
            <w:tcW w:w="720" w:type="dxa"/>
            <w:noWrap/>
            <w:vAlign w:val="center"/>
          </w:tcPr>
          <w:p w14:paraId="3C410F09" w14:textId="164A5A6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24</w:t>
            </w:r>
          </w:p>
        </w:tc>
        <w:tc>
          <w:tcPr>
            <w:tcW w:w="990" w:type="dxa"/>
            <w:noWrap/>
            <w:vAlign w:val="center"/>
          </w:tcPr>
          <w:p w14:paraId="26EAA835" w14:textId="3D7BEE8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96</w:t>
            </w:r>
          </w:p>
        </w:tc>
        <w:tc>
          <w:tcPr>
            <w:tcW w:w="900" w:type="dxa"/>
            <w:vAlign w:val="center"/>
          </w:tcPr>
          <w:p w14:paraId="79F94BD2" w14:textId="567B60B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1343CE3A" w14:textId="563AA0A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45</w:t>
            </w:r>
          </w:p>
        </w:tc>
        <w:tc>
          <w:tcPr>
            <w:tcW w:w="1260" w:type="dxa"/>
            <w:noWrap/>
            <w:vAlign w:val="center"/>
          </w:tcPr>
          <w:p w14:paraId="2B4B39CC" w14:textId="2232F64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60</w:t>
            </w:r>
          </w:p>
        </w:tc>
      </w:tr>
      <w:tr w:rsidR="00470980" w:rsidRPr="00F549CC" w14:paraId="516D3D06" w14:textId="77777777" w:rsidTr="006148C7">
        <w:trPr>
          <w:trHeight w:val="320"/>
        </w:trPr>
        <w:tc>
          <w:tcPr>
            <w:tcW w:w="1260" w:type="dxa"/>
            <w:noWrap/>
            <w:vAlign w:val="center"/>
          </w:tcPr>
          <w:p w14:paraId="79D2BDE3" w14:textId="181EA4B6"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Lean fish</w:t>
            </w:r>
          </w:p>
        </w:tc>
        <w:tc>
          <w:tcPr>
            <w:tcW w:w="943" w:type="dxa"/>
            <w:noWrap/>
            <w:vAlign w:val="center"/>
          </w:tcPr>
          <w:p w14:paraId="24CB9E62" w14:textId="6AA1A65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36</w:t>
            </w:r>
          </w:p>
        </w:tc>
        <w:tc>
          <w:tcPr>
            <w:tcW w:w="947" w:type="dxa"/>
            <w:noWrap/>
            <w:vAlign w:val="center"/>
          </w:tcPr>
          <w:p w14:paraId="3287E540" w14:textId="5676673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16</w:t>
            </w:r>
          </w:p>
        </w:tc>
        <w:tc>
          <w:tcPr>
            <w:tcW w:w="720" w:type="dxa"/>
            <w:vAlign w:val="center"/>
          </w:tcPr>
          <w:p w14:paraId="2272A550" w14:textId="1762712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22</w:t>
            </w:r>
          </w:p>
        </w:tc>
        <w:tc>
          <w:tcPr>
            <w:tcW w:w="720" w:type="dxa"/>
            <w:noWrap/>
            <w:vAlign w:val="center"/>
          </w:tcPr>
          <w:p w14:paraId="233CB878" w14:textId="369B227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79</w:t>
            </w:r>
          </w:p>
        </w:tc>
        <w:tc>
          <w:tcPr>
            <w:tcW w:w="720" w:type="dxa"/>
            <w:noWrap/>
            <w:vAlign w:val="center"/>
          </w:tcPr>
          <w:p w14:paraId="6B7D953B" w14:textId="7886AF8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w:t>
            </w:r>
          </w:p>
        </w:tc>
        <w:tc>
          <w:tcPr>
            <w:tcW w:w="990" w:type="dxa"/>
            <w:noWrap/>
            <w:vAlign w:val="center"/>
          </w:tcPr>
          <w:p w14:paraId="4BD2D6C5" w14:textId="6209E9D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57CDE9FE" w14:textId="315D0F1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w:t>
            </w:r>
          </w:p>
        </w:tc>
        <w:tc>
          <w:tcPr>
            <w:tcW w:w="990" w:type="dxa"/>
            <w:noWrap/>
            <w:vAlign w:val="center"/>
          </w:tcPr>
          <w:p w14:paraId="7286116A" w14:textId="5A179B7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46</w:t>
            </w:r>
          </w:p>
        </w:tc>
        <w:tc>
          <w:tcPr>
            <w:tcW w:w="1260" w:type="dxa"/>
            <w:noWrap/>
            <w:vAlign w:val="center"/>
          </w:tcPr>
          <w:p w14:paraId="1C570526" w14:textId="56B54A4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60</w:t>
            </w:r>
          </w:p>
        </w:tc>
      </w:tr>
      <w:tr w:rsidR="00470980" w:rsidRPr="00F549CC" w14:paraId="67C230EB" w14:textId="77777777" w:rsidTr="006148C7">
        <w:trPr>
          <w:trHeight w:val="320"/>
        </w:trPr>
        <w:tc>
          <w:tcPr>
            <w:tcW w:w="1260" w:type="dxa"/>
            <w:noWrap/>
            <w:vAlign w:val="center"/>
          </w:tcPr>
          <w:p w14:paraId="66CAEE30" w14:textId="03F04CC9"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Mung bean sprouts</w:t>
            </w:r>
          </w:p>
        </w:tc>
        <w:tc>
          <w:tcPr>
            <w:tcW w:w="943" w:type="dxa"/>
            <w:noWrap/>
            <w:vAlign w:val="center"/>
          </w:tcPr>
          <w:p w14:paraId="12208D91" w14:textId="34BE623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38</w:t>
            </w:r>
          </w:p>
        </w:tc>
        <w:tc>
          <w:tcPr>
            <w:tcW w:w="947" w:type="dxa"/>
            <w:noWrap/>
            <w:vAlign w:val="center"/>
          </w:tcPr>
          <w:p w14:paraId="05E3BD42" w14:textId="06CA650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37</w:t>
            </w:r>
          </w:p>
        </w:tc>
        <w:tc>
          <w:tcPr>
            <w:tcW w:w="720" w:type="dxa"/>
            <w:vAlign w:val="center"/>
          </w:tcPr>
          <w:p w14:paraId="0CE04EB1" w14:textId="1D923B8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720" w:type="dxa"/>
            <w:noWrap/>
            <w:vAlign w:val="center"/>
          </w:tcPr>
          <w:p w14:paraId="14379B3E" w14:textId="0E023AD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40</w:t>
            </w:r>
          </w:p>
        </w:tc>
        <w:tc>
          <w:tcPr>
            <w:tcW w:w="720" w:type="dxa"/>
            <w:noWrap/>
            <w:vAlign w:val="center"/>
          </w:tcPr>
          <w:p w14:paraId="344B632E" w14:textId="0697A4D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29</w:t>
            </w:r>
          </w:p>
        </w:tc>
        <w:tc>
          <w:tcPr>
            <w:tcW w:w="990" w:type="dxa"/>
            <w:noWrap/>
            <w:vAlign w:val="center"/>
          </w:tcPr>
          <w:p w14:paraId="4B28A464" w14:textId="029CA7E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97</w:t>
            </w:r>
          </w:p>
        </w:tc>
        <w:tc>
          <w:tcPr>
            <w:tcW w:w="900" w:type="dxa"/>
            <w:vAlign w:val="center"/>
          </w:tcPr>
          <w:p w14:paraId="573F65BE" w14:textId="4EE2E95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71377182" w14:textId="721DA76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43</w:t>
            </w:r>
          </w:p>
        </w:tc>
        <w:tc>
          <w:tcPr>
            <w:tcW w:w="1260" w:type="dxa"/>
            <w:noWrap/>
            <w:vAlign w:val="center"/>
          </w:tcPr>
          <w:p w14:paraId="770A789E" w14:textId="76AD4A7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60</w:t>
            </w:r>
          </w:p>
        </w:tc>
      </w:tr>
      <w:tr w:rsidR="00470980" w:rsidRPr="00F549CC" w14:paraId="1D52DBDC" w14:textId="77777777" w:rsidTr="006148C7">
        <w:trPr>
          <w:trHeight w:val="320"/>
        </w:trPr>
        <w:tc>
          <w:tcPr>
            <w:tcW w:w="1260" w:type="dxa"/>
            <w:noWrap/>
            <w:vAlign w:val="center"/>
          </w:tcPr>
          <w:p w14:paraId="1FDB9A63" w14:textId="710E2B04"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Pork</w:t>
            </w:r>
          </w:p>
        </w:tc>
        <w:tc>
          <w:tcPr>
            <w:tcW w:w="943" w:type="dxa"/>
            <w:noWrap/>
            <w:vAlign w:val="center"/>
          </w:tcPr>
          <w:p w14:paraId="46BE9AD6" w14:textId="4795216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43</w:t>
            </w:r>
          </w:p>
        </w:tc>
        <w:tc>
          <w:tcPr>
            <w:tcW w:w="947" w:type="dxa"/>
            <w:noWrap/>
            <w:vAlign w:val="center"/>
          </w:tcPr>
          <w:p w14:paraId="1946D98A" w14:textId="3F303ED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25</w:t>
            </w:r>
          </w:p>
        </w:tc>
        <w:tc>
          <w:tcPr>
            <w:tcW w:w="720" w:type="dxa"/>
            <w:vAlign w:val="center"/>
          </w:tcPr>
          <w:p w14:paraId="4E1435C9" w14:textId="38E8B68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w:t>
            </w:r>
          </w:p>
        </w:tc>
        <w:tc>
          <w:tcPr>
            <w:tcW w:w="720" w:type="dxa"/>
            <w:noWrap/>
            <w:vAlign w:val="center"/>
          </w:tcPr>
          <w:p w14:paraId="786031C3" w14:textId="52AFE1E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83</w:t>
            </w:r>
          </w:p>
        </w:tc>
        <w:tc>
          <w:tcPr>
            <w:tcW w:w="720" w:type="dxa"/>
            <w:noWrap/>
            <w:vAlign w:val="center"/>
          </w:tcPr>
          <w:p w14:paraId="1D620C90" w14:textId="407AABA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990" w:type="dxa"/>
            <w:noWrap/>
            <w:vAlign w:val="center"/>
          </w:tcPr>
          <w:p w14:paraId="5588BA6A" w14:textId="3D189AE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452701C9" w14:textId="73FBA3A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-34</w:t>
            </w:r>
          </w:p>
        </w:tc>
        <w:tc>
          <w:tcPr>
            <w:tcW w:w="990" w:type="dxa"/>
            <w:noWrap/>
            <w:vAlign w:val="center"/>
          </w:tcPr>
          <w:p w14:paraId="796466FF" w14:textId="17C3052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52</w:t>
            </w:r>
          </w:p>
        </w:tc>
        <w:tc>
          <w:tcPr>
            <w:tcW w:w="1260" w:type="dxa"/>
            <w:noWrap/>
            <w:vAlign w:val="center"/>
          </w:tcPr>
          <w:p w14:paraId="1BD03375" w14:textId="2FAA8DC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60</w:t>
            </w:r>
          </w:p>
        </w:tc>
      </w:tr>
      <w:tr w:rsidR="00470980" w:rsidRPr="00F549CC" w14:paraId="7E954319" w14:textId="77777777" w:rsidTr="006148C7">
        <w:trPr>
          <w:trHeight w:val="320"/>
        </w:trPr>
        <w:tc>
          <w:tcPr>
            <w:tcW w:w="1260" w:type="dxa"/>
            <w:noWrap/>
            <w:vAlign w:val="center"/>
          </w:tcPr>
          <w:p w14:paraId="0EC93DEC" w14:textId="3D0CE900"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Carrots</w:t>
            </w:r>
          </w:p>
        </w:tc>
        <w:tc>
          <w:tcPr>
            <w:tcW w:w="943" w:type="dxa"/>
            <w:noWrap/>
            <w:vAlign w:val="center"/>
          </w:tcPr>
          <w:p w14:paraId="595946A6" w14:textId="33536E3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39</w:t>
            </w:r>
          </w:p>
        </w:tc>
        <w:tc>
          <w:tcPr>
            <w:tcW w:w="947" w:type="dxa"/>
            <w:noWrap/>
            <w:vAlign w:val="center"/>
          </w:tcPr>
          <w:p w14:paraId="50F825D2" w14:textId="22B7AC7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25</w:t>
            </w:r>
          </w:p>
        </w:tc>
        <w:tc>
          <w:tcPr>
            <w:tcW w:w="720" w:type="dxa"/>
            <w:vAlign w:val="center"/>
          </w:tcPr>
          <w:p w14:paraId="5ACFC91F" w14:textId="7B610AF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720" w:type="dxa"/>
            <w:noWrap/>
            <w:vAlign w:val="center"/>
          </w:tcPr>
          <w:p w14:paraId="70639050" w14:textId="54EE20C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35</w:t>
            </w:r>
          </w:p>
        </w:tc>
        <w:tc>
          <w:tcPr>
            <w:tcW w:w="720" w:type="dxa"/>
            <w:noWrap/>
            <w:vAlign w:val="center"/>
          </w:tcPr>
          <w:p w14:paraId="36A4360A" w14:textId="4E6C994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58</w:t>
            </w:r>
          </w:p>
        </w:tc>
        <w:tc>
          <w:tcPr>
            <w:tcW w:w="990" w:type="dxa"/>
            <w:noWrap/>
            <w:vAlign w:val="center"/>
          </w:tcPr>
          <w:p w14:paraId="54B9E38A" w14:textId="374240D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98</w:t>
            </w:r>
          </w:p>
        </w:tc>
        <w:tc>
          <w:tcPr>
            <w:tcW w:w="900" w:type="dxa"/>
            <w:vAlign w:val="center"/>
          </w:tcPr>
          <w:p w14:paraId="2F307F07" w14:textId="03BD78F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7A5B1107" w14:textId="16D5F91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36</w:t>
            </w:r>
          </w:p>
        </w:tc>
        <w:tc>
          <w:tcPr>
            <w:tcW w:w="1260" w:type="dxa"/>
            <w:noWrap/>
            <w:vAlign w:val="center"/>
          </w:tcPr>
          <w:p w14:paraId="12A928F7" w14:textId="29C2AA8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60</w:t>
            </w:r>
          </w:p>
        </w:tc>
      </w:tr>
      <w:tr w:rsidR="00470980" w:rsidRPr="00F549CC" w14:paraId="406124B8" w14:textId="77777777" w:rsidTr="006148C7">
        <w:trPr>
          <w:trHeight w:val="320"/>
        </w:trPr>
        <w:tc>
          <w:tcPr>
            <w:tcW w:w="1260" w:type="dxa"/>
            <w:noWrap/>
            <w:vAlign w:val="center"/>
          </w:tcPr>
          <w:p w14:paraId="3F3C1F34" w14:textId="2C149A1E"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Egg</w:t>
            </w:r>
          </w:p>
        </w:tc>
        <w:tc>
          <w:tcPr>
            <w:tcW w:w="943" w:type="dxa"/>
            <w:noWrap/>
            <w:vAlign w:val="center"/>
          </w:tcPr>
          <w:p w14:paraId="0085D0CE" w14:textId="2D6936A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49</w:t>
            </w:r>
          </w:p>
        </w:tc>
        <w:tc>
          <w:tcPr>
            <w:tcW w:w="947" w:type="dxa"/>
            <w:noWrap/>
            <w:vAlign w:val="center"/>
          </w:tcPr>
          <w:p w14:paraId="28A82A2E" w14:textId="3862A8F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18</w:t>
            </w:r>
          </w:p>
        </w:tc>
        <w:tc>
          <w:tcPr>
            <w:tcW w:w="720" w:type="dxa"/>
            <w:vAlign w:val="center"/>
          </w:tcPr>
          <w:p w14:paraId="5666FB28" w14:textId="3BF9E99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w:t>
            </w:r>
          </w:p>
        </w:tc>
        <w:tc>
          <w:tcPr>
            <w:tcW w:w="720" w:type="dxa"/>
            <w:noWrap/>
            <w:vAlign w:val="center"/>
          </w:tcPr>
          <w:p w14:paraId="47BE07B5" w14:textId="7D8262F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63</w:t>
            </w:r>
          </w:p>
        </w:tc>
        <w:tc>
          <w:tcPr>
            <w:tcW w:w="720" w:type="dxa"/>
            <w:noWrap/>
            <w:vAlign w:val="center"/>
          </w:tcPr>
          <w:p w14:paraId="603A88A3" w14:textId="0E1AE71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990" w:type="dxa"/>
            <w:noWrap/>
            <w:vAlign w:val="center"/>
          </w:tcPr>
          <w:p w14:paraId="4098C5E8" w14:textId="3920E72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97</w:t>
            </w:r>
          </w:p>
        </w:tc>
        <w:tc>
          <w:tcPr>
            <w:tcW w:w="900" w:type="dxa"/>
            <w:vAlign w:val="center"/>
          </w:tcPr>
          <w:p w14:paraId="1AE948DD" w14:textId="3E4F9B2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w:t>
            </w:r>
          </w:p>
        </w:tc>
        <w:tc>
          <w:tcPr>
            <w:tcW w:w="990" w:type="dxa"/>
            <w:noWrap/>
            <w:vAlign w:val="center"/>
          </w:tcPr>
          <w:p w14:paraId="3FED3650" w14:textId="0F01046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47</w:t>
            </w:r>
          </w:p>
        </w:tc>
        <w:tc>
          <w:tcPr>
            <w:tcW w:w="1260" w:type="dxa"/>
            <w:noWrap/>
            <w:vAlign w:val="center"/>
          </w:tcPr>
          <w:p w14:paraId="0A497D86" w14:textId="3512FBA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59</w:t>
            </w:r>
          </w:p>
        </w:tc>
      </w:tr>
      <w:tr w:rsidR="00470980" w:rsidRPr="00F549CC" w14:paraId="65EA056D" w14:textId="77777777" w:rsidTr="006148C7">
        <w:trPr>
          <w:trHeight w:val="320"/>
        </w:trPr>
        <w:tc>
          <w:tcPr>
            <w:tcW w:w="1260" w:type="dxa"/>
            <w:noWrap/>
            <w:vAlign w:val="center"/>
          </w:tcPr>
          <w:p w14:paraId="69CA72AB" w14:textId="344DD2EC"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Long bean</w:t>
            </w:r>
          </w:p>
        </w:tc>
        <w:tc>
          <w:tcPr>
            <w:tcW w:w="943" w:type="dxa"/>
            <w:noWrap/>
            <w:vAlign w:val="center"/>
          </w:tcPr>
          <w:p w14:paraId="169E036F" w14:textId="28A16E9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31</w:t>
            </w:r>
          </w:p>
        </w:tc>
        <w:tc>
          <w:tcPr>
            <w:tcW w:w="947" w:type="dxa"/>
            <w:noWrap/>
            <w:vAlign w:val="center"/>
          </w:tcPr>
          <w:p w14:paraId="46F66FB9" w14:textId="541D76C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38</w:t>
            </w:r>
          </w:p>
        </w:tc>
        <w:tc>
          <w:tcPr>
            <w:tcW w:w="720" w:type="dxa"/>
            <w:vAlign w:val="center"/>
          </w:tcPr>
          <w:p w14:paraId="7728E119" w14:textId="096329F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w:t>
            </w:r>
          </w:p>
        </w:tc>
        <w:tc>
          <w:tcPr>
            <w:tcW w:w="720" w:type="dxa"/>
            <w:noWrap/>
            <w:vAlign w:val="center"/>
          </w:tcPr>
          <w:p w14:paraId="76507490" w14:textId="3C4D582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38</w:t>
            </w:r>
          </w:p>
        </w:tc>
        <w:tc>
          <w:tcPr>
            <w:tcW w:w="720" w:type="dxa"/>
            <w:noWrap/>
            <w:vAlign w:val="center"/>
          </w:tcPr>
          <w:p w14:paraId="0794BB84" w14:textId="7E3C645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33</w:t>
            </w:r>
          </w:p>
        </w:tc>
        <w:tc>
          <w:tcPr>
            <w:tcW w:w="990" w:type="dxa"/>
            <w:noWrap/>
            <w:vAlign w:val="center"/>
          </w:tcPr>
          <w:p w14:paraId="6FEA6C86" w14:textId="6DE2BEC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97</w:t>
            </w:r>
          </w:p>
        </w:tc>
        <w:tc>
          <w:tcPr>
            <w:tcW w:w="900" w:type="dxa"/>
            <w:vAlign w:val="center"/>
          </w:tcPr>
          <w:p w14:paraId="5BEFB675" w14:textId="2EBD389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0F524C04" w14:textId="2C3125D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40</w:t>
            </w:r>
          </w:p>
        </w:tc>
        <w:tc>
          <w:tcPr>
            <w:tcW w:w="1260" w:type="dxa"/>
            <w:noWrap/>
            <w:vAlign w:val="center"/>
          </w:tcPr>
          <w:p w14:paraId="633AE82E" w14:textId="748678C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59</w:t>
            </w:r>
          </w:p>
        </w:tc>
      </w:tr>
      <w:tr w:rsidR="00470980" w:rsidRPr="00F549CC" w14:paraId="308D9A94" w14:textId="77777777" w:rsidTr="006148C7">
        <w:trPr>
          <w:trHeight w:val="320"/>
        </w:trPr>
        <w:tc>
          <w:tcPr>
            <w:tcW w:w="1260" w:type="dxa"/>
            <w:noWrap/>
            <w:vAlign w:val="center"/>
          </w:tcPr>
          <w:p w14:paraId="5DDF02D5" w14:textId="65D48744"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Tempeh</w:t>
            </w:r>
          </w:p>
        </w:tc>
        <w:tc>
          <w:tcPr>
            <w:tcW w:w="943" w:type="dxa"/>
            <w:noWrap/>
            <w:vAlign w:val="center"/>
          </w:tcPr>
          <w:p w14:paraId="4F7C9638" w14:textId="25562A3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19</w:t>
            </w:r>
          </w:p>
        </w:tc>
        <w:tc>
          <w:tcPr>
            <w:tcW w:w="947" w:type="dxa"/>
            <w:noWrap/>
            <w:vAlign w:val="center"/>
          </w:tcPr>
          <w:p w14:paraId="799BD14F" w14:textId="759EA37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38</w:t>
            </w:r>
          </w:p>
        </w:tc>
        <w:tc>
          <w:tcPr>
            <w:tcW w:w="720" w:type="dxa"/>
            <w:vAlign w:val="center"/>
          </w:tcPr>
          <w:p w14:paraId="69B9C446" w14:textId="61F23FD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w:t>
            </w:r>
          </w:p>
        </w:tc>
        <w:tc>
          <w:tcPr>
            <w:tcW w:w="720" w:type="dxa"/>
            <w:noWrap/>
            <w:vAlign w:val="center"/>
          </w:tcPr>
          <w:p w14:paraId="16ABA5F2" w14:textId="2587B75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60</w:t>
            </w:r>
          </w:p>
        </w:tc>
        <w:tc>
          <w:tcPr>
            <w:tcW w:w="720" w:type="dxa"/>
            <w:noWrap/>
            <w:vAlign w:val="center"/>
          </w:tcPr>
          <w:p w14:paraId="5209F9B3" w14:textId="6291E3E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32</w:t>
            </w:r>
          </w:p>
        </w:tc>
        <w:tc>
          <w:tcPr>
            <w:tcW w:w="990" w:type="dxa"/>
            <w:noWrap/>
            <w:vAlign w:val="center"/>
          </w:tcPr>
          <w:p w14:paraId="63BD1820" w14:textId="11E086C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98</w:t>
            </w:r>
          </w:p>
        </w:tc>
        <w:tc>
          <w:tcPr>
            <w:tcW w:w="900" w:type="dxa"/>
            <w:vAlign w:val="center"/>
          </w:tcPr>
          <w:p w14:paraId="6CF5799A" w14:textId="6D9E8DA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-14</w:t>
            </w:r>
          </w:p>
        </w:tc>
        <w:tc>
          <w:tcPr>
            <w:tcW w:w="990" w:type="dxa"/>
            <w:noWrap/>
            <w:vAlign w:val="center"/>
          </w:tcPr>
          <w:p w14:paraId="68536421" w14:textId="76AD1CF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41</w:t>
            </w:r>
          </w:p>
        </w:tc>
        <w:tc>
          <w:tcPr>
            <w:tcW w:w="1260" w:type="dxa"/>
            <w:noWrap/>
            <w:vAlign w:val="center"/>
          </w:tcPr>
          <w:p w14:paraId="62354464" w14:textId="6A3C9C0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59</w:t>
            </w:r>
          </w:p>
        </w:tc>
      </w:tr>
      <w:tr w:rsidR="00470980" w:rsidRPr="00F549CC" w14:paraId="704CEBE4" w14:textId="77777777" w:rsidTr="006148C7">
        <w:trPr>
          <w:trHeight w:val="320"/>
        </w:trPr>
        <w:tc>
          <w:tcPr>
            <w:tcW w:w="1260" w:type="dxa"/>
            <w:noWrap/>
            <w:vAlign w:val="center"/>
          </w:tcPr>
          <w:p w14:paraId="436FE8F8" w14:textId="323A74DD"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Chicken</w:t>
            </w:r>
          </w:p>
        </w:tc>
        <w:tc>
          <w:tcPr>
            <w:tcW w:w="943" w:type="dxa"/>
            <w:noWrap/>
            <w:vAlign w:val="center"/>
          </w:tcPr>
          <w:p w14:paraId="37495DB1" w14:textId="07A1FE3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30</w:t>
            </w:r>
          </w:p>
        </w:tc>
        <w:tc>
          <w:tcPr>
            <w:tcW w:w="947" w:type="dxa"/>
            <w:noWrap/>
            <w:vAlign w:val="center"/>
          </w:tcPr>
          <w:p w14:paraId="149C22D9" w14:textId="6CA2DCE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24</w:t>
            </w:r>
          </w:p>
        </w:tc>
        <w:tc>
          <w:tcPr>
            <w:tcW w:w="720" w:type="dxa"/>
            <w:vAlign w:val="center"/>
          </w:tcPr>
          <w:p w14:paraId="44F1A69D" w14:textId="3F0137A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w:t>
            </w:r>
          </w:p>
        </w:tc>
        <w:tc>
          <w:tcPr>
            <w:tcW w:w="720" w:type="dxa"/>
            <w:noWrap/>
            <w:vAlign w:val="center"/>
          </w:tcPr>
          <w:p w14:paraId="0591AF54" w14:textId="2CBFC75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78</w:t>
            </w:r>
          </w:p>
        </w:tc>
        <w:tc>
          <w:tcPr>
            <w:tcW w:w="720" w:type="dxa"/>
            <w:noWrap/>
            <w:vAlign w:val="center"/>
          </w:tcPr>
          <w:p w14:paraId="40FFD845" w14:textId="544E789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990" w:type="dxa"/>
            <w:noWrap/>
            <w:vAlign w:val="center"/>
          </w:tcPr>
          <w:p w14:paraId="3218B618" w14:textId="617536F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600BAA6A" w14:textId="68CA49B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-17</w:t>
            </w:r>
          </w:p>
        </w:tc>
        <w:tc>
          <w:tcPr>
            <w:tcW w:w="990" w:type="dxa"/>
            <w:noWrap/>
            <w:vAlign w:val="center"/>
          </w:tcPr>
          <w:p w14:paraId="790E8730" w14:textId="337BD7B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44</w:t>
            </w:r>
          </w:p>
        </w:tc>
        <w:tc>
          <w:tcPr>
            <w:tcW w:w="1260" w:type="dxa"/>
            <w:noWrap/>
            <w:vAlign w:val="center"/>
          </w:tcPr>
          <w:p w14:paraId="3D653FCA" w14:textId="310F4B3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57</w:t>
            </w:r>
          </w:p>
        </w:tc>
      </w:tr>
      <w:tr w:rsidR="00470980" w:rsidRPr="00F549CC" w14:paraId="77DA2BAE" w14:textId="77777777" w:rsidTr="006148C7">
        <w:trPr>
          <w:trHeight w:val="320"/>
        </w:trPr>
        <w:tc>
          <w:tcPr>
            <w:tcW w:w="1260" w:type="dxa"/>
            <w:noWrap/>
            <w:vAlign w:val="center"/>
          </w:tcPr>
          <w:p w14:paraId="52027CEB" w14:textId="32C55E9D"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Guava</w:t>
            </w:r>
          </w:p>
        </w:tc>
        <w:tc>
          <w:tcPr>
            <w:tcW w:w="943" w:type="dxa"/>
            <w:noWrap/>
            <w:vAlign w:val="center"/>
          </w:tcPr>
          <w:p w14:paraId="447F1D36" w14:textId="58CB7A8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33</w:t>
            </w:r>
          </w:p>
        </w:tc>
        <w:tc>
          <w:tcPr>
            <w:tcW w:w="947" w:type="dxa"/>
            <w:noWrap/>
            <w:vAlign w:val="center"/>
          </w:tcPr>
          <w:p w14:paraId="5B90724A" w14:textId="1127C66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22</w:t>
            </w:r>
          </w:p>
        </w:tc>
        <w:tc>
          <w:tcPr>
            <w:tcW w:w="720" w:type="dxa"/>
            <w:vAlign w:val="center"/>
          </w:tcPr>
          <w:p w14:paraId="4F7D5A46" w14:textId="3DF292C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w:t>
            </w:r>
          </w:p>
        </w:tc>
        <w:tc>
          <w:tcPr>
            <w:tcW w:w="720" w:type="dxa"/>
            <w:noWrap/>
            <w:vAlign w:val="center"/>
          </w:tcPr>
          <w:p w14:paraId="16FCFDA8" w14:textId="1DF62C8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27</w:t>
            </w:r>
          </w:p>
        </w:tc>
        <w:tc>
          <w:tcPr>
            <w:tcW w:w="720" w:type="dxa"/>
            <w:noWrap/>
            <w:vAlign w:val="center"/>
          </w:tcPr>
          <w:p w14:paraId="029BE1CA" w14:textId="0816BBB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73</w:t>
            </w:r>
          </w:p>
        </w:tc>
        <w:tc>
          <w:tcPr>
            <w:tcW w:w="990" w:type="dxa"/>
            <w:noWrap/>
            <w:vAlign w:val="center"/>
          </w:tcPr>
          <w:p w14:paraId="3131A800" w14:textId="6B2B32D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97</w:t>
            </w:r>
          </w:p>
        </w:tc>
        <w:tc>
          <w:tcPr>
            <w:tcW w:w="900" w:type="dxa"/>
            <w:vAlign w:val="center"/>
          </w:tcPr>
          <w:p w14:paraId="178F664E" w14:textId="73495AA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5906C285" w14:textId="6026E97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30</w:t>
            </w:r>
          </w:p>
        </w:tc>
        <w:tc>
          <w:tcPr>
            <w:tcW w:w="1260" w:type="dxa"/>
            <w:noWrap/>
            <w:vAlign w:val="center"/>
          </w:tcPr>
          <w:p w14:paraId="736153D6" w14:textId="4FD77AB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57</w:t>
            </w:r>
          </w:p>
        </w:tc>
      </w:tr>
      <w:tr w:rsidR="00470980" w:rsidRPr="00F549CC" w14:paraId="74BEB7CD" w14:textId="77777777" w:rsidTr="006148C7">
        <w:trPr>
          <w:trHeight w:val="320"/>
        </w:trPr>
        <w:tc>
          <w:tcPr>
            <w:tcW w:w="1260" w:type="dxa"/>
            <w:noWrap/>
            <w:vAlign w:val="center"/>
          </w:tcPr>
          <w:p w14:paraId="07CAA47B" w14:textId="188C457B"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Tofu</w:t>
            </w:r>
          </w:p>
        </w:tc>
        <w:tc>
          <w:tcPr>
            <w:tcW w:w="943" w:type="dxa"/>
            <w:noWrap/>
            <w:vAlign w:val="center"/>
          </w:tcPr>
          <w:p w14:paraId="0414B650" w14:textId="5852489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11</w:t>
            </w:r>
          </w:p>
        </w:tc>
        <w:tc>
          <w:tcPr>
            <w:tcW w:w="947" w:type="dxa"/>
            <w:noWrap/>
            <w:vAlign w:val="center"/>
          </w:tcPr>
          <w:p w14:paraId="29A2D44F" w14:textId="67B7989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39</w:t>
            </w:r>
          </w:p>
        </w:tc>
        <w:tc>
          <w:tcPr>
            <w:tcW w:w="720" w:type="dxa"/>
            <w:vAlign w:val="center"/>
          </w:tcPr>
          <w:p w14:paraId="66B7ABD8" w14:textId="096549C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10</w:t>
            </w:r>
          </w:p>
        </w:tc>
        <w:tc>
          <w:tcPr>
            <w:tcW w:w="720" w:type="dxa"/>
            <w:noWrap/>
            <w:vAlign w:val="center"/>
          </w:tcPr>
          <w:p w14:paraId="2F4872CF" w14:textId="0DCCDD6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54</w:t>
            </w:r>
          </w:p>
        </w:tc>
        <w:tc>
          <w:tcPr>
            <w:tcW w:w="720" w:type="dxa"/>
            <w:noWrap/>
            <w:vAlign w:val="center"/>
          </w:tcPr>
          <w:p w14:paraId="096933EA" w14:textId="07562DB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16</w:t>
            </w:r>
          </w:p>
        </w:tc>
        <w:tc>
          <w:tcPr>
            <w:tcW w:w="990" w:type="dxa"/>
            <w:noWrap/>
            <w:vAlign w:val="center"/>
          </w:tcPr>
          <w:p w14:paraId="23F93AC7" w14:textId="10242D3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09AD6997" w14:textId="56E7036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990" w:type="dxa"/>
            <w:noWrap/>
            <w:vAlign w:val="center"/>
          </w:tcPr>
          <w:p w14:paraId="2B50A28F" w14:textId="777B36C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36</w:t>
            </w:r>
          </w:p>
        </w:tc>
        <w:tc>
          <w:tcPr>
            <w:tcW w:w="1260" w:type="dxa"/>
            <w:noWrap/>
            <w:vAlign w:val="center"/>
          </w:tcPr>
          <w:p w14:paraId="4F791F9D" w14:textId="4CF1436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55</w:t>
            </w:r>
          </w:p>
        </w:tc>
      </w:tr>
      <w:tr w:rsidR="00470980" w:rsidRPr="00F549CC" w14:paraId="4E4F5770" w14:textId="77777777" w:rsidTr="006148C7">
        <w:trPr>
          <w:trHeight w:val="320"/>
        </w:trPr>
        <w:tc>
          <w:tcPr>
            <w:tcW w:w="1260" w:type="dxa"/>
            <w:noWrap/>
            <w:vAlign w:val="center"/>
          </w:tcPr>
          <w:p w14:paraId="539E37A5" w14:textId="5EB317BC"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Sweet potato</w:t>
            </w:r>
          </w:p>
        </w:tc>
        <w:tc>
          <w:tcPr>
            <w:tcW w:w="943" w:type="dxa"/>
            <w:noWrap/>
            <w:vAlign w:val="center"/>
          </w:tcPr>
          <w:p w14:paraId="77C99EAA" w14:textId="17A2814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33</w:t>
            </w:r>
          </w:p>
        </w:tc>
        <w:tc>
          <w:tcPr>
            <w:tcW w:w="947" w:type="dxa"/>
            <w:noWrap/>
            <w:vAlign w:val="center"/>
          </w:tcPr>
          <w:p w14:paraId="0CD8C4EA" w14:textId="504675E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19</w:t>
            </w:r>
          </w:p>
        </w:tc>
        <w:tc>
          <w:tcPr>
            <w:tcW w:w="720" w:type="dxa"/>
            <w:vAlign w:val="center"/>
          </w:tcPr>
          <w:p w14:paraId="730700B9" w14:textId="3A261B7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720" w:type="dxa"/>
            <w:noWrap/>
            <w:vAlign w:val="center"/>
          </w:tcPr>
          <w:p w14:paraId="6EB3B07E" w14:textId="62F7E04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52</w:t>
            </w:r>
          </w:p>
        </w:tc>
        <w:tc>
          <w:tcPr>
            <w:tcW w:w="720" w:type="dxa"/>
            <w:noWrap/>
            <w:vAlign w:val="center"/>
          </w:tcPr>
          <w:p w14:paraId="7E86B234" w14:textId="5A639A9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31</w:t>
            </w:r>
          </w:p>
        </w:tc>
        <w:tc>
          <w:tcPr>
            <w:tcW w:w="990" w:type="dxa"/>
            <w:noWrap/>
            <w:vAlign w:val="center"/>
          </w:tcPr>
          <w:p w14:paraId="106F6C68" w14:textId="3A2DB54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96</w:t>
            </w:r>
          </w:p>
        </w:tc>
        <w:tc>
          <w:tcPr>
            <w:tcW w:w="900" w:type="dxa"/>
            <w:vAlign w:val="center"/>
          </w:tcPr>
          <w:p w14:paraId="2EAE658C" w14:textId="068FF6E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1D9E7A78" w14:textId="5C00BA4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35</w:t>
            </w:r>
          </w:p>
        </w:tc>
        <w:tc>
          <w:tcPr>
            <w:tcW w:w="1260" w:type="dxa"/>
            <w:noWrap/>
            <w:vAlign w:val="center"/>
          </w:tcPr>
          <w:p w14:paraId="63CD1945" w14:textId="22F77AB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55</w:t>
            </w:r>
          </w:p>
        </w:tc>
      </w:tr>
      <w:tr w:rsidR="00470980" w:rsidRPr="00F549CC" w14:paraId="69346A4C" w14:textId="77777777" w:rsidTr="006148C7">
        <w:trPr>
          <w:trHeight w:val="320"/>
        </w:trPr>
        <w:tc>
          <w:tcPr>
            <w:tcW w:w="1260" w:type="dxa"/>
            <w:noWrap/>
            <w:vAlign w:val="center"/>
          </w:tcPr>
          <w:p w14:paraId="54DA48B1" w14:textId="0B2B32B8"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Mushrooms</w:t>
            </w:r>
          </w:p>
        </w:tc>
        <w:tc>
          <w:tcPr>
            <w:tcW w:w="943" w:type="dxa"/>
            <w:noWrap/>
            <w:vAlign w:val="center"/>
          </w:tcPr>
          <w:p w14:paraId="55238272" w14:textId="134582D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35</w:t>
            </w:r>
          </w:p>
        </w:tc>
        <w:tc>
          <w:tcPr>
            <w:tcW w:w="947" w:type="dxa"/>
            <w:noWrap/>
            <w:vAlign w:val="center"/>
          </w:tcPr>
          <w:p w14:paraId="4E502894" w14:textId="6CB8CB8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24</w:t>
            </w:r>
          </w:p>
        </w:tc>
        <w:tc>
          <w:tcPr>
            <w:tcW w:w="720" w:type="dxa"/>
            <w:vAlign w:val="center"/>
          </w:tcPr>
          <w:p w14:paraId="74319572" w14:textId="0864724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720" w:type="dxa"/>
            <w:noWrap/>
            <w:vAlign w:val="center"/>
          </w:tcPr>
          <w:p w14:paraId="2D3F34E5" w14:textId="107FDF4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34</w:t>
            </w:r>
          </w:p>
        </w:tc>
        <w:tc>
          <w:tcPr>
            <w:tcW w:w="720" w:type="dxa"/>
            <w:noWrap/>
            <w:vAlign w:val="center"/>
          </w:tcPr>
          <w:p w14:paraId="6CDD000B" w14:textId="14A5CBC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30</w:t>
            </w:r>
          </w:p>
        </w:tc>
        <w:tc>
          <w:tcPr>
            <w:tcW w:w="990" w:type="dxa"/>
            <w:noWrap/>
            <w:vAlign w:val="center"/>
          </w:tcPr>
          <w:p w14:paraId="75579171" w14:textId="3787B6C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97</w:t>
            </w:r>
          </w:p>
        </w:tc>
        <w:tc>
          <w:tcPr>
            <w:tcW w:w="900" w:type="dxa"/>
            <w:vAlign w:val="center"/>
          </w:tcPr>
          <w:p w14:paraId="3EC9B14D" w14:textId="6C7D066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3B738806" w14:textId="136B8A2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33</w:t>
            </w:r>
          </w:p>
        </w:tc>
        <w:tc>
          <w:tcPr>
            <w:tcW w:w="1260" w:type="dxa"/>
            <w:noWrap/>
            <w:vAlign w:val="center"/>
          </w:tcPr>
          <w:p w14:paraId="5A361E47" w14:textId="1F9F502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54</w:t>
            </w:r>
          </w:p>
        </w:tc>
      </w:tr>
      <w:tr w:rsidR="00470980" w:rsidRPr="00F549CC" w14:paraId="4FD19FFB" w14:textId="77777777" w:rsidTr="006148C7">
        <w:trPr>
          <w:trHeight w:val="320"/>
        </w:trPr>
        <w:tc>
          <w:tcPr>
            <w:tcW w:w="1260" w:type="dxa"/>
            <w:noWrap/>
            <w:vAlign w:val="center"/>
          </w:tcPr>
          <w:p w14:paraId="1ADEE404" w14:textId="3DD20603"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Unsweetened soymilk</w:t>
            </w:r>
          </w:p>
        </w:tc>
        <w:tc>
          <w:tcPr>
            <w:tcW w:w="943" w:type="dxa"/>
            <w:noWrap/>
            <w:vAlign w:val="center"/>
          </w:tcPr>
          <w:p w14:paraId="73DE3156" w14:textId="3D3D7CE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19</w:t>
            </w:r>
          </w:p>
        </w:tc>
        <w:tc>
          <w:tcPr>
            <w:tcW w:w="947" w:type="dxa"/>
            <w:noWrap/>
            <w:vAlign w:val="center"/>
          </w:tcPr>
          <w:p w14:paraId="2E179FD0" w14:textId="7AEC8AC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19</w:t>
            </w:r>
          </w:p>
        </w:tc>
        <w:tc>
          <w:tcPr>
            <w:tcW w:w="720" w:type="dxa"/>
            <w:vAlign w:val="center"/>
          </w:tcPr>
          <w:p w14:paraId="5B5AB3DF" w14:textId="5F9488E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27</w:t>
            </w:r>
          </w:p>
        </w:tc>
        <w:tc>
          <w:tcPr>
            <w:tcW w:w="720" w:type="dxa"/>
            <w:noWrap/>
            <w:vAlign w:val="center"/>
          </w:tcPr>
          <w:p w14:paraId="41B34C86" w14:textId="6054B79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55</w:t>
            </w:r>
          </w:p>
        </w:tc>
        <w:tc>
          <w:tcPr>
            <w:tcW w:w="720" w:type="dxa"/>
            <w:noWrap/>
            <w:vAlign w:val="center"/>
          </w:tcPr>
          <w:p w14:paraId="168B9AB5" w14:textId="2D142C7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w:t>
            </w:r>
          </w:p>
        </w:tc>
        <w:tc>
          <w:tcPr>
            <w:tcW w:w="990" w:type="dxa"/>
            <w:noWrap/>
            <w:vAlign w:val="center"/>
          </w:tcPr>
          <w:p w14:paraId="04BAC60F" w14:textId="79FAC0C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100</w:t>
            </w:r>
          </w:p>
        </w:tc>
        <w:tc>
          <w:tcPr>
            <w:tcW w:w="900" w:type="dxa"/>
            <w:vAlign w:val="center"/>
          </w:tcPr>
          <w:p w14:paraId="56B156FD" w14:textId="23C33DB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0C4CD8B0" w14:textId="14231C4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33</w:t>
            </w:r>
          </w:p>
        </w:tc>
        <w:tc>
          <w:tcPr>
            <w:tcW w:w="1260" w:type="dxa"/>
            <w:noWrap/>
            <w:vAlign w:val="center"/>
          </w:tcPr>
          <w:p w14:paraId="7B2183FE" w14:textId="22017DC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54</w:t>
            </w:r>
          </w:p>
        </w:tc>
      </w:tr>
      <w:tr w:rsidR="00470980" w:rsidRPr="00F549CC" w14:paraId="15D6D1BD" w14:textId="77777777" w:rsidTr="006148C7">
        <w:trPr>
          <w:trHeight w:val="320"/>
        </w:trPr>
        <w:tc>
          <w:tcPr>
            <w:tcW w:w="1260" w:type="dxa"/>
            <w:noWrap/>
            <w:vAlign w:val="center"/>
          </w:tcPr>
          <w:p w14:paraId="37F35200" w14:textId="2E422F67"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Rose apple</w:t>
            </w:r>
          </w:p>
        </w:tc>
        <w:tc>
          <w:tcPr>
            <w:tcW w:w="943" w:type="dxa"/>
            <w:noWrap/>
            <w:vAlign w:val="center"/>
          </w:tcPr>
          <w:p w14:paraId="0C9DA079" w14:textId="3C21578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29</w:t>
            </w:r>
          </w:p>
        </w:tc>
        <w:tc>
          <w:tcPr>
            <w:tcW w:w="947" w:type="dxa"/>
            <w:noWrap/>
            <w:vAlign w:val="center"/>
          </w:tcPr>
          <w:p w14:paraId="1621E69A" w14:textId="662809C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16</w:t>
            </w:r>
          </w:p>
        </w:tc>
        <w:tc>
          <w:tcPr>
            <w:tcW w:w="720" w:type="dxa"/>
            <w:vAlign w:val="center"/>
          </w:tcPr>
          <w:p w14:paraId="2D984E9B" w14:textId="290CA79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11</w:t>
            </w:r>
          </w:p>
        </w:tc>
        <w:tc>
          <w:tcPr>
            <w:tcW w:w="720" w:type="dxa"/>
            <w:noWrap/>
            <w:vAlign w:val="center"/>
          </w:tcPr>
          <w:p w14:paraId="470C4DAD" w14:textId="6585DC1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28</w:t>
            </w:r>
          </w:p>
        </w:tc>
        <w:tc>
          <w:tcPr>
            <w:tcW w:w="720" w:type="dxa"/>
            <w:noWrap/>
            <w:vAlign w:val="center"/>
          </w:tcPr>
          <w:p w14:paraId="3E0CB69F" w14:textId="5B5A2E5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58</w:t>
            </w:r>
          </w:p>
        </w:tc>
        <w:tc>
          <w:tcPr>
            <w:tcW w:w="990" w:type="dxa"/>
            <w:noWrap/>
            <w:vAlign w:val="center"/>
          </w:tcPr>
          <w:p w14:paraId="08C6C443" w14:textId="2DB05F0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3038128A" w14:textId="623960F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4C63F14A" w14:textId="4E498EA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26</w:t>
            </w:r>
          </w:p>
        </w:tc>
        <w:tc>
          <w:tcPr>
            <w:tcW w:w="1260" w:type="dxa"/>
            <w:noWrap/>
            <w:vAlign w:val="center"/>
          </w:tcPr>
          <w:p w14:paraId="312C9181" w14:textId="76F2ECA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54</w:t>
            </w:r>
          </w:p>
        </w:tc>
      </w:tr>
      <w:tr w:rsidR="00470980" w:rsidRPr="00F549CC" w14:paraId="08F47E26" w14:textId="77777777" w:rsidTr="006148C7">
        <w:trPr>
          <w:trHeight w:val="320"/>
        </w:trPr>
        <w:tc>
          <w:tcPr>
            <w:tcW w:w="1260" w:type="dxa"/>
            <w:noWrap/>
            <w:vAlign w:val="center"/>
          </w:tcPr>
          <w:p w14:paraId="6D390B43" w14:textId="606E3EF3"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Winged beans</w:t>
            </w:r>
          </w:p>
        </w:tc>
        <w:tc>
          <w:tcPr>
            <w:tcW w:w="943" w:type="dxa"/>
            <w:noWrap/>
            <w:vAlign w:val="center"/>
          </w:tcPr>
          <w:p w14:paraId="4071EDBE" w14:textId="0071E09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14</w:t>
            </w:r>
          </w:p>
        </w:tc>
        <w:tc>
          <w:tcPr>
            <w:tcW w:w="947" w:type="dxa"/>
            <w:noWrap/>
            <w:vAlign w:val="center"/>
          </w:tcPr>
          <w:p w14:paraId="6DBA7B25" w14:textId="2BC20BC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46</w:t>
            </w:r>
          </w:p>
        </w:tc>
        <w:tc>
          <w:tcPr>
            <w:tcW w:w="720" w:type="dxa"/>
            <w:vAlign w:val="center"/>
          </w:tcPr>
          <w:p w14:paraId="26133494" w14:textId="4E4A7BA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w:t>
            </w:r>
          </w:p>
        </w:tc>
        <w:tc>
          <w:tcPr>
            <w:tcW w:w="720" w:type="dxa"/>
            <w:noWrap/>
            <w:vAlign w:val="center"/>
          </w:tcPr>
          <w:p w14:paraId="49D4C817" w14:textId="1A75A68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44</w:t>
            </w:r>
          </w:p>
        </w:tc>
        <w:tc>
          <w:tcPr>
            <w:tcW w:w="720" w:type="dxa"/>
            <w:noWrap/>
            <w:vAlign w:val="center"/>
          </w:tcPr>
          <w:p w14:paraId="030CE849" w14:textId="2E82021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18</w:t>
            </w:r>
          </w:p>
        </w:tc>
        <w:tc>
          <w:tcPr>
            <w:tcW w:w="990" w:type="dxa"/>
            <w:noWrap/>
            <w:vAlign w:val="center"/>
          </w:tcPr>
          <w:p w14:paraId="2137E867" w14:textId="4C9670D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95</w:t>
            </w:r>
          </w:p>
        </w:tc>
        <w:tc>
          <w:tcPr>
            <w:tcW w:w="900" w:type="dxa"/>
            <w:vAlign w:val="center"/>
          </w:tcPr>
          <w:p w14:paraId="1ED4597A" w14:textId="42749F9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w:t>
            </w:r>
          </w:p>
        </w:tc>
        <w:tc>
          <w:tcPr>
            <w:tcW w:w="990" w:type="dxa"/>
            <w:noWrap/>
            <w:vAlign w:val="center"/>
          </w:tcPr>
          <w:p w14:paraId="78DB6D84" w14:textId="0F1AF40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37</w:t>
            </w:r>
          </w:p>
        </w:tc>
        <w:tc>
          <w:tcPr>
            <w:tcW w:w="1260" w:type="dxa"/>
            <w:noWrap/>
            <w:vAlign w:val="center"/>
          </w:tcPr>
          <w:p w14:paraId="15055758" w14:textId="1811067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54</w:t>
            </w:r>
          </w:p>
        </w:tc>
      </w:tr>
      <w:tr w:rsidR="00470980" w:rsidRPr="00F549CC" w14:paraId="152049C7" w14:textId="77777777" w:rsidTr="006148C7">
        <w:trPr>
          <w:trHeight w:val="320"/>
        </w:trPr>
        <w:tc>
          <w:tcPr>
            <w:tcW w:w="1260" w:type="dxa"/>
            <w:noWrap/>
            <w:vAlign w:val="center"/>
          </w:tcPr>
          <w:p w14:paraId="26982D9B" w14:textId="6031CD1C"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Peanuts</w:t>
            </w:r>
          </w:p>
        </w:tc>
        <w:tc>
          <w:tcPr>
            <w:tcW w:w="943" w:type="dxa"/>
            <w:noWrap/>
            <w:vAlign w:val="center"/>
          </w:tcPr>
          <w:p w14:paraId="371A56D2" w14:textId="719688C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39</w:t>
            </w:r>
          </w:p>
        </w:tc>
        <w:tc>
          <w:tcPr>
            <w:tcW w:w="947" w:type="dxa"/>
            <w:noWrap/>
            <w:vAlign w:val="center"/>
          </w:tcPr>
          <w:p w14:paraId="08818305" w14:textId="37094F4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47</w:t>
            </w:r>
          </w:p>
        </w:tc>
        <w:tc>
          <w:tcPr>
            <w:tcW w:w="720" w:type="dxa"/>
            <w:vAlign w:val="center"/>
          </w:tcPr>
          <w:p w14:paraId="6B8C0A4A" w14:textId="7B33E1C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720" w:type="dxa"/>
            <w:noWrap/>
            <w:vAlign w:val="center"/>
          </w:tcPr>
          <w:p w14:paraId="7673B0EA" w14:textId="1068D6C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30</w:t>
            </w:r>
          </w:p>
        </w:tc>
        <w:tc>
          <w:tcPr>
            <w:tcW w:w="720" w:type="dxa"/>
            <w:noWrap/>
            <w:vAlign w:val="center"/>
          </w:tcPr>
          <w:p w14:paraId="4F5700C3" w14:textId="21052B9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54</w:t>
            </w:r>
          </w:p>
        </w:tc>
        <w:tc>
          <w:tcPr>
            <w:tcW w:w="990" w:type="dxa"/>
            <w:noWrap/>
            <w:vAlign w:val="center"/>
          </w:tcPr>
          <w:p w14:paraId="57C50724" w14:textId="5E665E1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73760D3D" w14:textId="1834FD4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-98</w:t>
            </w:r>
          </w:p>
        </w:tc>
        <w:tc>
          <w:tcPr>
            <w:tcW w:w="990" w:type="dxa"/>
            <w:noWrap/>
            <w:vAlign w:val="center"/>
          </w:tcPr>
          <w:p w14:paraId="3CAFC2CD" w14:textId="43E4C9C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46</w:t>
            </w:r>
          </w:p>
        </w:tc>
        <w:tc>
          <w:tcPr>
            <w:tcW w:w="1260" w:type="dxa"/>
            <w:noWrap/>
            <w:vAlign w:val="center"/>
          </w:tcPr>
          <w:p w14:paraId="3DD0FA54" w14:textId="3B1ED53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54</w:t>
            </w:r>
          </w:p>
        </w:tc>
      </w:tr>
      <w:tr w:rsidR="00470980" w:rsidRPr="00F549CC" w14:paraId="485F2623" w14:textId="77777777" w:rsidTr="006148C7">
        <w:trPr>
          <w:trHeight w:val="320"/>
        </w:trPr>
        <w:tc>
          <w:tcPr>
            <w:tcW w:w="1260" w:type="dxa"/>
            <w:noWrap/>
            <w:vAlign w:val="center"/>
          </w:tcPr>
          <w:p w14:paraId="12BB01EE" w14:textId="28E5FEEA"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Plain whole yogurt</w:t>
            </w:r>
          </w:p>
        </w:tc>
        <w:tc>
          <w:tcPr>
            <w:tcW w:w="943" w:type="dxa"/>
            <w:noWrap/>
            <w:vAlign w:val="center"/>
          </w:tcPr>
          <w:p w14:paraId="2B45C880" w14:textId="1A71146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23</w:t>
            </w:r>
          </w:p>
        </w:tc>
        <w:tc>
          <w:tcPr>
            <w:tcW w:w="947" w:type="dxa"/>
            <w:noWrap/>
            <w:vAlign w:val="center"/>
          </w:tcPr>
          <w:p w14:paraId="2F29A374" w14:textId="7F2777A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27</w:t>
            </w:r>
          </w:p>
        </w:tc>
        <w:tc>
          <w:tcPr>
            <w:tcW w:w="720" w:type="dxa"/>
            <w:vAlign w:val="center"/>
          </w:tcPr>
          <w:p w14:paraId="6B706185" w14:textId="2825EDC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w:t>
            </w:r>
          </w:p>
        </w:tc>
        <w:tc>
          <w:tcPr>
            <w:tcW w:w="720" w:type="dxa"/>
            <w:noWrap/>
            <w:vAlign w:val="center"/>
          </w:tcPr>
          <w:p w14:paraId="515A16FD" w14:textId="5220AAD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61</w:t>
            </w:r>
          </w:p>
        </w:tc>
        <w:tc>
          <w:tcPr>
            <w:tcW w:w="720" w:type="dxa"/>
            <w:noWrap/>
            <w:vAlign w:val="center"/>
          </w:tcPr>
          <w:p w14:paraId="0830C281" w14:textId="4A47AE8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990" w:type="dxa"/>
            <w:noWrap/>
            <w:vAlign w:val="center"/>
          </w:tcPr>
          <w:p w14:paraId="51A27321" w14:textId="3AFEA35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94</w:t>
            </w:r>
          </w:p>
        </w:tc>
        <w:tc>
          <w:tcPr>
            <w:tcW w:w="900" w:type="dxa"/>
            <w:vAlign w:val="center"/>
          </w:tcPr>
          <w:p w14:paraId="3DA48C16" w14:textId="55CD32F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60278F87" w14:textId="3C284EC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37</w:t>
            </w:r>
          </w:p>
        </w:tc>
        <w:tc>
          <w:tcPr>
            <w:tcW w:w="1260" w:type="dxa"/>
            <w:noWrap/>
            <w:vAlign w:val="center"/>
          </w:tcPr>
          <w:p w14:paraId="68BA2660" w14:textId="7163BCA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53</w:t>
            </w:r>
          </w:p>
        </w:tc>
      </w:tr>
      <w:tr w:rsidR="00470980" w:rsidRPr="00F549CC" w14:paraId="7F27F558" w14:textId="77777777" w:rsidTr="006148C7">
        <w:trPr>
          <w:trHeight w:val="320"/>
        </w:trPr>
        <w:tc>
          <w:tcPr>
            <w:tcW w:w="1260" w:type="dxa"/>
            <w:noWrap/>
            <w:vAlign w:val="center"/>
          </w:tcPr>
          <w:p w14:paraId="0546F0D3" w14:textId="1A484222"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Red pepper</w:t>
            </w:r>
          </w:p>
        </w:tc>
        <w:tc>
          <w:tcPr>
            <w:tcW w:w="943" w:type="dxa"/>
            <w:noWrap/>
            <w:vAlign w:val="center"/>
          </w:tcPr>
          <w:p w14:paraId="0D91758B" w14:textId="611DDD8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47</w:t>
            </w:r>
          </w:p>
        </w:tc>
        <w:tc>
          <w:tcPr>
            <w:tcW w:w="947" w:type="dxa"/>
            <w:noWrap/>
            <w:vAlign w:val="center"/>
          </w:tcPr>
          <w:p w14:paraId="20571364" w14:textId="51C77ED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12</w:t>
            </w:r>
          </w:p>
        </w:tc>
        <w:tc>
          <w:tcPr>
            <w:tcW w:w="720" w:type="dxa"/>
            <w:vAlign w:val="center"/>
          </w:tcPr>
          <w:p w14:paraId="478F9827" w14:textId="6D5919C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720" w:type="dxa"/>
            <w:noWrap/>
            <w:vAlign w:val="center"/>
          </w:tcPr>
          <w:p w14:paraId="6ACCEC2D" w14:textId="0E3EB8D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30</w:t>
            </w:r>
          </w:p>
        </w:tc>
        <w:tc>
          <w:tcPr>
            <w:tcW w:w="720" w:type="dxa"/>
            <w:noWrap/>
            <w:vAlign w:val="center"/>
          </w:tcPr>
          <w:p w14:paraId="528D7CA6" w14:textId="1744F56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25</w:t>
            </w:r>
          </w:p>
        </w:tc>
        <w:tc>
          <w:tcPr>
            <w:tcW w:w="990" w:type="dxa"/>
            <w:noWrap/>
            <w:vAlign w:val="center"/>
          </w:tcPr>
          <w:p w14:paraId="18F3C15A" w14:textId="4B8660B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98</w:t>
            </w:r>
          </w:p>
        </w:tc>
        <w:tc>
          <w:tcPr>
            <w:tcW w:w="900" w:type="dxa"/>
            <w:vAlign w:val="center"/>
          </w:tcPr>
          <w:p w14:paraId="27F9DDE0" w14:textId="7D38CAC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5A4D5364" w14:textId="06C7478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32</w:t>
            </w:r>
          </w:p>
        </w:tc>
        <w:tc>
          <w:tcPr>
            <w:tcW w:w="1260" w:type="dxa"/>
            <w:noWrap/>
            <w:vAlign w:val="center"/>
          </w:tcPr>
          <w:p w14:paraId="6384F7EC" w14:textId="260EB6D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53</w:t>
            </w:r>
          </w:p>
        </w:tc>
      </w:tr>
      <w:tr w:rsidR="00470980" w:rsidRPr="00F549CC" w14:paraId="4E581527" w14:textId="77777777" w:rsidTr="006148C7">
        <w:trPr>
          <w:trHeight w:val="320"/>
        </w:trPr>
        <w:tc>
          <w:tcPr>
            <w:tcW w:w="1260" w:type="dxa"/>
            <w:noWrap/>
            <w:vAlign w:val="center"/>
          </w:tcPr>
          <w:p w14:paraId="3AFC1E4A" w14:textId="1D8A336C"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Whole cow milk</w:t>
            </w:r>
          </w:p>
        </w:tc>
        <w:tc>
          <w:tcPr>
            <w:tcW w:w="943" w:type="dxa"/>
            <w:noWrap/>
            <w:vAlign w:val="center"/>
          </w:tcPr>
          <w:p w14:paraId="7522D751" w14:textId="59E388B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28</w:t>
            </w:r>
          </w:p>
        </w:tc>
        <w:tc>
          <w:tcPr>
            <w:tcW w:w="947" w:type="dxa"/>
            <w:noWrap/>
            <w:vAlign w:val="center"/>
          </w:tcPr>
          <w:p w14:paraId="54AB47D8" w14:textId="0901474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22</w:t>
            </w:r>
          </w:p>
        </w:tc>
        <w:tc>
          <w:tcPr>
            <w:tcW w:w="720" w:type="dxa"/>
            <w:vAlign w:val="center"/>
          </w:tcPr>
          <w:p w14:paraId="49F00841" w14:textId="1117298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w:t>
            </w:r>
          </w:p>
        </w:tc>
        <w:tc>
          <w:tcPr>
            <w:tcW w:w="720" w:type="dxa"/>
            <w:noWrap/>
            <w:vAlign w:val="center"/>
          </w:tcPr>
          <w:p w14:paraId="187976D7" w14:textId="40A0301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59</w:t>
            </w:r>
          </w:p>
        </w:tc>
        <w:tc>
          <w:tcPr>
            <w:tcW w:w="720" w:type="dxa"/>
            <w:noWrap/>
            <w:vAlign w:val="center"/>
          </w:tcPr>
          <w:p w14:paraId="06D0C5B0" w14:textId="5C62210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990" w:type="dxa"/>
            <w:noWrap/>
            <w:vAlign w:val="center"/>
          </w:tcPr>
          <w:p w14:paraId="123CB187" w14:textId="3B9AADC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95</w:t>
            </w:r>
          </w:p>
        </w:tc>
        <w:tc>
          <w:tcPr>
            <w:tcW w:w="900" w:type="dxa"/>
            <w:vAlign w:val="center"/>
          </w:tcPr>
          <w:p w14:paraId="1BB5C478" w14:textId="3808FAF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3D73518C" w14:textId="4B90A98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37</w:t>
            </w:r>
          </w:p>
        </w:tc>
        <w:tc>
          <w:tcPr>
            <w:tcW w:w="1260" w:type="dxa"/>
            <w:noWrap/>
            <w:vAlign w:val="center"/>
          </w:tcPr>
          <w:p w14:paraId="0C0C48F8" w14:textId="07C3703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53</w:t>
            </w:r>
          </w:p>
        </w:tc>
      </w:tr>
      <w:tr w:rsidR="00470980" w:rsidRPr="00F549CC" w14:paraId="126F7B00" w14:textId="77777777" w:rsidTr="006148C7">
        <w:trPr>
          <w:trHeight w:val="320"/>
        </w:trPr>
        <w:tc>
          <w:tcPr>
            <w:tcW w:w="1260" w:type="dxa"/>
            <w:noWrap/>
            <w:vAlign w:val="center"/>
          </w:tcPr>
          <w:p w14:paraId="243068D0" w14:textId="6FB3AF5C"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lastRenderedPageBreak/>
              <w:t>Whole milk powder</w:t>
            </w:r>
          </w:p>
        </w:tc>
        <w:tc>
          <w:tcPr>
            <w:tcW w:w="943" w:type="dxa"/>
            <w:noWrap/>
            <w:vAlign w:val="center"/>
          </w:tcPr>
          <w:p w14:paraId="7031BFC3" w14:textId="5B5B590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25</w:t>
            </w:r>
          </w:p>
        </w:tc>
        <w:tc>
          <w:tcPr>
            <w:tcW w:w="947" w:type="dxa"/>
            <w:noWrap/>
            <w:vAlign w:val="center"/>
          </w:tcPr>
          <w:p w14:paraId="3F9691A1" w14:textId="5A733E1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23</w:t>
            </w:r>
          </w:p>
        </w:tc>
        <w:tc>
          <w:tcPr>
            <w:tcW w:w="720" w:type="dxa"/>
            <w:vAlign w:val="center"/>
          </w:tcPr>
          <w:p w14:paraId="0E5D95A6" w14:textId="12216B9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w:t>
            </w:r>
          </w:p>
        </w:tc>
        <w:tc>
          <w:tcPr>
            <w:tcW w:w="720" w:type="dxa"/>
            <w:noWrap/>
            <w:vAlign w:val="center"/>
          </w:tcPr>
          <w:p w14:paraId="3742B1B6" w14:textId="272A6AE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59</w:t>
            </w:r>
          </w:p>
        </w:tc>
        <w:tc>
          <w:tcPr>
            <w:tcW w:w="720" w:type="dxa"/>
            <w:noWrap/>
            <w:vAlign w:val="center"/>
          </w:tcPr>
          <w:p w14:paraId="14A853A2" w14:textId="21533BD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990" w:type="dxa"/>
            <w:noWrap/>
            <w:vAlign w:val="center"/>
          </w:tcPr>
          <w:p w14:paraId="189D3064" w14:textId="112A80F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95</w:t>
            </w:r>
          </w:p>
        </w:tc>
        <w:tc>
          <w:tcPr>
            <w:tcW w:w="900" w:type="dxa"/>
            <w:vAlign w:val="center"/>
          </w:tcPr>
          <w:p w14:paraId="3254FE51" w14:textId="26A34F5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61562B31" w14:textId="62287A6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36</w:t>
            </w:r>
          </w:p>
        </w:tc>
        <w:tc>
          <w:tcPr>
            <w:tcW w:w="1260" w:type="dxa"/>
            <w:noWrap/>
            <w:vAlign w:val="center"/>
          </w:tcPr>
          <w:p w14:paraId="41C3DFDA" w14:textId="45EB9BA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52</w:t>
            </w:r>
          </w:p>
        </w:tc>
      </w:tr>
      <w:tr w:rsidR="00470980" w:rsidRPr="00F549CC" w14:paraId="59F42275" w14:textId="77777777" w:rsidTr="006148C7">
        <w:trPr>
          <w:trHeight w:val="320"/>
        </w:trPr>
        <w:tc>
          <w:tcPr>
            <w:tcW w:w="1260" w:type="dxa"/>
            <w:noWrap/>
            <w:vAlign w:val="center"/>
          </w:tcPr>
          <w:p w14:paraId="59CE6971" w14:textId="7AC01DC7"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Whole sheep milk</w:t>
            </w:r>
          </w:p>
        </w:tc>
        <w:tc>
          <w:tcPr>
            <w:tcW w:w="943" w:type="dxa"/>
            <w:noWrap/>
            <w:vAlign w:val="center"/>
          </w:tcPr>
          <w:p w14:paraId="5EB007F7" w14:textId="374344A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26</w:t>
            </w:r>
          </w:p>
        </w:tc>
        <w:tc>
          <w:tcPr>
            <w:tcW w:w="947" w:type="dxa"/>
            <w:noWrap/>
            <w:vAlign w:val="center"/>
          </w:tcPr>
          <w:p w14:paraId="222E687F" w14:textId="2AAD304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21</w:t>
            </w:r>
          </w:p>
        </w:tc>
        <w:tc>
          <w:tcPr>
            <w:tcW w:w="720" w:type="dxa"/>
            <w:vAlign w:val="center"/>
          </w:tcPr>
          <w:p w14:paraId="696B9AD7" w14:textId="5120FDF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w:t>
            </w:r>
          </w:p>
        </w:tc>
        <w:tc>
          <w:tcPr>
            <w:tcW w:w="720" w:type="dxa"/>
            <w:noWrap/>
            <w:vAlign w:val="center"/>
          </w:tcPr>
          <w:p w14:paraId="6020079D" w14:textId="79BAAF3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64</w:t>
            </w:r>
          </w:p>
        </w:tc>
        <w:tc>
          <w:tcPr>
            <w:tcW w:w="720" w:type="dxa"/>
            <w:noWrap/>
            <w:vAlign w:val="center"/>
          </w:tcPr>
          <w:p w14:paraId="47D10640" w14:textId="09E182D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990" w:type="dxa"/>
            <w:noWrap/>
            <w:vAlign w:val="center"/>
          </w:tcPr>
          <w:p w14:paraId="38E99486" w14:textId="2B65371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94</w:t>
            </w:r>
          </w:p>
        </w:tc>
        <w:tc>
          <w:tcPr>
            <w:tcW w:w="900" w:type="dxa"/>
            <w:vAlign w:val="center"/>
          </w:tcPr>
          <w:p w14:paraId="6C7C3615" w14:textId="6500388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73F3B942" w14:textId="5485DA4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36</w:t>
            </w:r>
          </w:p>
        </w:tc>
        <w:tc>
          <w:tcPr>
            <w:tcW w:w="1260" w:type="dxa"/>
            <w:noWrap/>
            <w:vAlign w:val="center"/>
          </w:tcPr>
          <w:p w14:paraId="68171E59" w14:textId="2E13AEF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52</w:t>
            </w:r>
          </w:p>
        </w:tc>
      </w:tr>
      <w:tr w:rsidR="00470980" w:rsidRPr="00F549CC" w14:paraId="42784F41" w14:textId="77777777" w:rsidTr="006148C7">
        <w:trPr>
          <w:trHeight w:val="320"/>
        </w:trPr>
        <w:tc>
          <w:tcPr>
            <w:tcW w:w="1260" w:type="dxa"/>
            <w:noWrap/>
            <w:vAlign w:val="center"/>
          </w:tcPr>
          <w:p w14:paraId="05DAD273" w14:textId="442BCCB0"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Cantaloupe</w:t>
            </w:r>
          </w:p>
        </w:tc>
        <w:tc>
          <w:tcPr>
            <w:tcW w:w="943" w:type="dxa"/>
            <w:noWrap/>
            <w:vAlign w:val="center"/>
          </w:tcPr>
          <w:p w14:paraId="36C8477E" w14:textId="5F58540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37</w:t>
            </w:r>
          </w:p>
        </w:tc>
        <w:tc>
          <w:tcPr>
            <w:tcW w:w="947" w:type="dxa"/>
            <w:noWrap/>
            <w:vAlign w:val="center"/>
          </w:tcPr>
          <w:p w14:paraId="3C6B6BB7" w14:textId="5A9D67F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22</w:t>
            </w:r>
          </w:p>
        </w:tc>
        <w:tc>
          <w:tcPr>
            <w:tcW w:w="720" w:type="dxa"/>
            <w:vAlign w:val="center"/>
          </w:tcPr>
          <w:p w14:paraId="00101524" w14:textId="63A94DA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w:t>
            </w:r>
          </w:p>
        </w:tc>
        <w:tc>
          <w:tcPr>
            <w:tcW w:w="720" w:type="dxa"/>
            <w:noWrap/>
            <w:vAlign w:val="center"/>
          </w:tcPr>
          <w:p w14:paraId="0407A866" w14:textId="71142BD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26</w:t>
            </w:r>
          </w:p>
        </w:tc>
        <w:tc>
          <w:tcPr>
            <w:tcW w:w="720" w:type="dxa"/>
            <w:noWrap/>
            <w:vAlign w:val="center"/>
          </w:tcPr>
          <w:p w14:paraId="34D40BE0" w14:textId="2DE20DA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20</w:t>
            </w:r>
          </w:p>
        </w:tc>
        <w:tc>
          <w:tcPr>
            <w:tcW w:w="990" w:type="dxa"/>
            <w:noWrap/>
            <w:vAlign w:val="center"/>
          </w:tcPr>
          <w:p w14:paraId="45D8680F" w14:textId="54337F6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94</w:t>
            </w:r>
          </w:p>
        </w:tc>
        <w:tc>
          <w:tcPr>
            <w:tcW w:w="900" w:type="dxa"/>
            <w:vAlign w:val="center"/>
          </w:tcPr>
          <w:p w14:paraId="7FFB35EA" w14:textId="56AAD52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1A1CED64" w14:textId="72BF167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32</w:t>
            </w:r>
          </w:p>
        </w:tc>
        <w:tc>
          <w:tcPr>
            <w:tcW w:w="1260" w:type="dxa"/>
            <w:noWrap/>
            <w:vAlign w:val="center"/>
          </w:tcPr>
          <w:p w14:paraId="62CBE0B4" w14:textId="27CEF93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51</w:t>
            </w:r>
          </w:p>
        </w:tc>
      </w:tr>
      <w:tr w:rsidR="00470980" w:rsidRPr="00F549CC" w14:paraId="159D5756" w14:textId="77777777" w:rsidTr="006148C7">
        <w:trPr>
          <w:trHeight w:val="320"/>
        </w:trPr>
        <w:tc>
          <w:tcPr>
            <w:tcW w:w="1260" w:type="dxa"/>
            <w:noWrap/>
            <w:vAlign w:val="center"/>
          </w:tcPr>
          <w:p w14:paraId="1C853FBD" w14:textId="4A3BFFE9"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Avocado</w:t>
            </w:r>
          </w:p>
        </w:tc>
        <w:tc>
          <w:tcPr>
            <w:tcW w:w="943" w:type="dxa"/>
            <w:noWrap/>
            <w:vAlign w:val="center"/>
          </w:tcPr>
          <w:p w14:paraId="3EEB084E" w14:textId="7AD55F5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25</w:t>
            </w:r>
          </w:p>
        </w:tc>
        <w:tc>
          <w:tcPr>
            <w:tcW w:w="947" w:type="dxa"/>
            <w:noWrap/>
            <w:vAlign w:val="center"/>
          </w:tcPr>
          <w:p w14:paraId="59AA7F96" w14:textId="66B67FD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18</w:t>
            </w:r>
          </w:p>
        </w:tc>
        <w:tc>
          <w:tcPr>
            <w:tcW w:w="720" w:type="dxa"/>
            <w:vAlign w:val="center"/>
          </w:tcPr>
          <w:p w14:paraId="7CED82DE" w14:textId="0252433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w:t>
            </w:r>
          </w:p>
        </w:tc>
        <w:tc>
          <w:tcPr>
            <w:tcW w:w="720" w:type="dxa"/>
            <w:noWrap/>
            <w:vAlign w:val="center"/>
          </w:tcPr>
          <w:p w14:paraId="3EC275A3" w14:textId="28E9DAC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26</w:t>
            </w:r>
          </w:p>
        </w:tc>
        <w:tc>
          <w:tcPr>
            <w:tcW w:w="720" w:type="dxa"/>
            <w:noWrap/>
            <w:vAlign w:val="center"/>
          </w:tcPr>
          <w:p w14:paraId="4527B2C6" w14:textId="2E7B659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58</w:t>
            </w:r>
          </w:p>
        </w:tc>
        <w:tc>
          <w:tcPr>
            <w:tcW w:w="990" w:type="dxa"/>
            <w:noWrap/>
            <w:vAlign w:val="center"/>
          </w:tcPr>
          <w:p w14:paraId="1F02377D" w14:textId="4EF5BD3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1A27021C" w14:textId="4468622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w:t>
            </w:r>
          </w:p>
        </w:tc>
        <w:tc>
          <w:tcPr>
            <w:tcW w:w="990" w:type="dxa"/>
            <w:noWrap/>
            <w:vAlign w:val="center"/>
          </w:tcPr>
          <w:p w14:paraId="33177CEB" w14:textId="738B8D4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24</w:t>
            </w:r>
          </w:p>
        </w:tc>
        <w:tc>
          <w:tcPr>
            <w:tcW w:w="1260" w:type="dxa"/>
            <w:noWrap/>
            <w:vAlign w:val="center"/>
          </w:tcPr>
          <w:p w14:paraId="27201A4A" w14:textId="4BB88FD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51</w:t>
            </w:r>
          </w:p>
        </w:tc>
      </w:tr>
      <w:tr w:rsidR="00470980" w:rsidRPr="00F549CC" w14:paraId="35418AC8" w14:textId="77777777" w:rsidTr="006148C7">
        <w:trPr>
          <w:trHeight w:val="320"/>
        </w:trPr>
        <w:tc>
          <w:tcPr>
            <w:tcW w:w="1260" w:type="dxa"/>
            <w:noWrap/>
            <w:vAlign w:val="center"/>
          </w:tcPr>
          <w:p w14:paraId="502C3889" w14:textId="02735F9D"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Starfruit</w:t>
            </w:r>
          </w:p>
        </w:tc>
        <w:tc>
          <w:tcPr>
            <w:tcW w:w="943" w:type="dxa"/>
            <w:noWrap/>
            <w:vAlign w:val="center"/>
          </w:tcPr>
          <w:p w14:paraId="4B81C5BF" w14:textId="1F27AD1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21</w:t>
            </w:r>
          </w:p>
        </w:tc>
        <w:tc>
          <w:tcPr>
            <w:tcW w:w="947" w:type="dxa"/>
            <w:noWrap/>
            <w:vAlign w:val="center"/>
          </w:tcPr>
          <w:p w14:paraId="4C8C1264" w14:textId="5028989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13</w:t>
            </w:r>
          </w:p>
        </w:tc>
        <w:tc>
          <w:tcPr>
            <w:tcW w:w="720" w:type="dxa"/>
            <w:vAlign w:val="center"/>
          </w:tcPr>
          <w:p w14:paraId="34AA76A6" w14:textId="407290A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w:t>
            </w:r>
          </w:p>
        </w:tc>
        <w:tc>
          <w:tcPr>
            <w:tcW w:w="720" w:type="dxa"/>
            <w:noWrap/>
            <w:vAlign w:val="center"/>
          </w:tcPr>
          <w:p w14:paraId="0A967C80" w14:textId="0625230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28</w:t>
            </w:r>
          </w:p>
        </w:tc>
        <w:tc>
          <w:tcPr>
            <w:tcW w:w="720" w:type="dxa"/>
            <w:noWrap/>
            <w:vAlign w:val="center"/>
          </w:tcPr>
          <w:p w14:paraId="4A32E4D6" w14:textId="59BE7A4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65</w:t>
            </w:r>
          </w:p>
        </w:tc>
        <w:tc>
          <w:tcPr>
            <w:tcW w:w="990" w:type="dxa"/>
            <w:noWrap/>
            <w:vAlign w:val="center"/>
          </w:tcPr>
          <w:p w14:paraId="1D81B146" w14:textId="7B658D0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47C5B96E" w14:textId="01DFDE8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137A8181" w14:textId="0467745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20</w:t>
            </w:r>
          </w:p>
        </w:tc>
        <w:tc>
          <w:tcPr>
            <w:tcW w:w="1260" w:type="dxa"/>
            <w:noWrap/>
            <w:vAlign w:val="center"/>
          </w:tcPr>
          <w:p w14:paraId="5DC6F8BE" w14:textId="0FE7356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51</w:t>
            </w:r>
          </w:p>
        </w:tc>
      </w:tr>
      <w:tr w:rsidR="00470980" w:rsidRPr="00F549CC" w14:paraId="6824BD30" w14:textId="77777777" w:rsidTr="006148C7">
        <w:trPr>
          <w:trHeight w:val="320"/>
        </w:trPr>
        <w:tc>
          <w:tcPr>
            <w:tcW w:w="1260" w:type="dxa"/>
            <w:noWrap/>
            <w:vAlign w:val="center"/>
          </w:tcPr>
          <w:p w14:paraId="2E75FADE" w14:textId="33F799CF"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Luffa gourd</w:t>
            </w:r>
          </w:p>
        </w:tc>
        <w:tc>
          <w:tcPr>
            <w:tcW w:w="943" w:type="dxa"/>
            <w:noWrap/>
            <w:vAlign w:val="center"/>
          </w:tcPr>
          <w:p w14:paraId="7F25D2D0" w14:textId="3CD468A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20</w:t>
            </w:r>
          </w:p>
        </w:tc>
        <w:tc>
          <w:tcPr>
            <w:tcW w:w="947" w:type="dxa"/>
            <w:noWrap/>
            <w:vAlign w:val="center"/>
          </w:tcPr>
          <w:p w14:paraId="6915704B" w14:textId="3BC040F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25</w:t>
            </w:r>
          </w:p>
        </w:tc>
        <w:tc>
          <w:tcPr>
            <w:tcW w:w="720" w:type="dxa"/>
            <w:vAlign w:val="center"/>
          </w:tcPr>
          <w:p w14:paraId="7681DB50" w14:textId="59887DD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w:t>
            </w:r>
          </w:p>
        </w:tc>
        <w:tc>
          <w:tcPr>
            <w:tcW w:w="720" w:type="dxa"/>
            <w:noWrap/>
            <w:vAlign w:val="center"/>
          </w:tcPr>
          <w:p w14:paraId="6EC785BE" w14:textId="644FCF6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31</w:t>
            </w:r>
          </w:p>
        </w:tc>
        <w:tc>
          <w:tcPr>
            <w:tcW w:w="720" w:type="dxa"/>
            <w:noWrap/>
            <w:vAlign w:val="center"/>
          </w:tcPr>
          <w:p w14:paraId="7762C9A0" w14:textId="64D5AF9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40</w:t>
            </w:r>
          </w:p>
        </w:tc>
        <w:tc>
          <w:tcPr>
            <w:tcW w:w="990" w:type="dxa"/>
            <w:noWrap/>
            <w:vAlign w:val="center"/>
          </w:tcPr>
          <w:p w14:paraId="23DDE5DB" w14:textId="74BEEF2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97</w:t>
            </w:r>
          </w:p>
        </w:tc>
        <w:tc>
          <w:tcPr>
            <w:tcW w:w="900" w:type="dxa"/>
            <w:vAlign w:val="center"/>
          </w:tcPr>
          <w:p w14:paraId="2AE2C508" w14:textId="5BE9923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12C7B73C" w14:textId="2A9A58B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26</w:t>
            </w:r>
          </w:p>
        </w:tc>
        <w:tc>
          <w:tcPr>
            <w:tcW w:w="1260" w:type="dxa"/>
            <w:noWrap/>
            <w:vAlign w:val="center"/>
          </w:tcPr>
          <w:p w14:paraId="12CD46E0" w14:textId="7E4A221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51</w:t>
            </w:r>
          </w:p>
        </w:tc>
      </w:tr>
      <w:tr w:rsidR="00470980" w:rsidRPr="00F549CC" w14:paraId="5AF9D201" w14:textId="77777777" w:rsidTr="006148C7">
        <w:trPr>
          <w:trHeight w:val="320"/>
        </w:trPr>
        <w:tc>
          <w:tcPr>
            <w:tcW w:w="1260" w:type="dxa"/>
            <w:noWrap/>
            <w:vAlign w:val="center"/>
          </w:tcPr>
          <w:p w14:paraId="647AD505" w14:textId="7D09F237"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Full-fat cheese</w:t>
            </w:r>
          </w:p>
        </w:tc>
        <w:tc>
          <w:tcPr>
            <w:tcW w:w="943" w:type="dxa"/>
            <w:noWrap/>
            <w:vAlign w:val="center"/>
          </w:tcPr>
          <w:p w14:paraId="574B00F3" w14:textId="019E148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25</w:t>
            </w:r>
          </w:p>
        </w:tc>
        <w:tc>
          <w:tcPr>
            <w:tcW w:w="947" w:type="dxa"/>
            <w:noWrap/>
            <w:vAlign w:val="center"/>
          </w:tcPr>
          <w:p w14:paraId="737045D6" w14:textId="288746B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42</w:t>
            </w:r>
          </w:p>
        </w:tc>
        <w:tc>
          <w:tcPr>
            <w:tcW w:w="720" w:type="dxa"/>
            <w:vAlign w:val="center"/>
          </w:tcPr>
          <w:p w14:paraId="35342199" w14:textId="68B04D4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w:t>
            </w:r>
          </w:p>
        </w:tc>
        <w:tc>
          <w:tcPr>
            <w:tcW w:w="720" w:type="dxa"/>
            <w:noWrap/>
            <w:vAlign w:val="center"/>
          </w:tcPr>
          <w:p w14:paraId="2BF9B1FE" w14:textId="4E921CC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78</w:t>
            </w:r>
          </w:p>
        </w:tc>
        <w:tc>
          <w:tcPr>
            <w:tcW w:w="720" w:type="dxa"/>
            <w:noWrap/>
            <w:vAlign w:val="center"/>
          </w:tcPr>
          <w:p w14:paraId="252E14B9" w14:textId="566727C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990" w:type="dxa"/>
            <w:noWrap/>
            <w:vAlign w:val="center"/>
          </w:tcPr>
          <w:p w14:paraId="73DDC091" w14:textId="4E6DF88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80</w:t>
            </w:r>
          </w:p>
        </w:tc>
        <w:tc>
          <w:tcPr>
            <w:tcW w:w="900" w:type="dxa"/>
            <w:vAlign w:val="center"/>
          </w:tcPr>
          <w:p w14:paraId="17FF54C2" w14:textId="6BE50B5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-50</w:t>
            </w:r>
          </w:p>
        </w:tc>
        <w:tc>
          <w:tcPr>
            <w:tcW w:w="990" w:type="dxa"/>
            <w:noWrap/>
            <w:vAlign w:val="center"/>
          </w:tcPr>
          <w:p w14:paraId="1D315FD5" w14:textId="4CF10BC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50</w:t>
            </w:r>
          </w:p>
        </w:tc>
        <w:tc>
          <w:tcPr>
            <w:tcW w:w="1260" w:type="dxa"/>
            <w:noWrap/>
            <w:vAlign w:val="center"/>
          </w:tcPr>
          <w:p w14:paraId="0A362A1A" w14:textId="565EB9C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50</w:t>
            </w:r>
          </w:p>
        </w:tc>
      </w:tr>
      <w:tr w:rsidR="00470980" w:rsidRPr="00F549CC" w14:paraId="4F2DB9E7" w14:textId="77777777" w:rsidTr="006148C7">
        <w:trPr>
          <w:trHeight w:val="320"/>
        </w:trPr>
        <w:tc>
          <w:tcPr>
            <w:tcW w:w="1260" w:type="dxa"/>
            <w:noWrap/>
            <w:vAlign w:val="center"/>
          </w:tcPr>
          <w:p w14:paraId="3CFA50CC" w14:textId="0B09B5E7"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Duck</w:t>
            </w:r>
          </w:p>
        </w:tc>
        <w:tc>
          <w:tcPr>
            <w:tcW w:w="943" w:type="dxa"/>
            <w:noWrap/>
            <w:vAlign w:val="center"/>
          </w:tcPr>
          <w:p w14:paraId="69FA732E" w14:textId="0E9411A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27</w:t>
            </w:r>
          </w:p>
        </w:tc>
        <w:tc>
          <w:tcPr>
            <w:tcW w:w="947" w:type="dxa"/>
            <w:noWrap/>
            <w:vAlign w:val="center"/>
          </w:tcPr>
          <w:p w14:paraId="48219A15" w14:textId="6175BFA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22</w:t>
            </w:r>
          </w:p>
        </w:tc>
        <w:tc>
          <w:tcPr>
            <w:tcW w:w="720" w:type="dxa"/>
            <w:vAlign w:val="center"/>
          </w:tcPr>
          <w:p w14:paraId="4C20E075" w14:textId="7D466C4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720" w:type="dxa"/>
            <w:noWrap/>
            <w:vAlign w:val="center"/>
          </w:tcPr>
          <w:p w14:paraId="244FD7A0" w14:textId="11B45D8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63</w:t>
            </w:r>
          </w:p>
        </w:tc>
        <w:tc>
          <w:tcPr>
            <w:tcW w:w="720" w:type="dxa"/>
            <w:noWrap/>
            <w:vAlign w:val="center"/>
          </w:tcPr>
          <w:p w14:paraId="260FD6EA" w14:textId="4F758C7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990" w:type="dxa"/>
            <w:noWrap/>
            <w:vAlign w:val="center"/>
          </w:tcPr>
          <w:p w14:paraId="48B494EA" w14:textId="6B9A8B7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99</w:t>
            </w:r>
          </w:p>
        </w:tc>
        <w:tc>
          <w:tcPr>
            <w:tcW w:w="900" w:type="dxa"/>
            <w:vAlign w:val="center"/>
          </w:tcPr>
          <w:p w14:paraId="347460A5" w14:textId="22E4629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-35</w:t>
            </w:r>
          </w:p>
        </w:tc>
        <w:tc>
          <w:tcPr>
            <w:tcW w:w="990" w:type="dxa"/>
            <w:noWrap/>
            <w:vAlign w:val="center"/>
          </w:tcPr>
          <w:p w14:paraId="52C1C0E7" w14:textId="2EA6198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37</w:t>
            </w:r>
          </w:p>
        </w:tc>
        <w:tc>
          <w:tcPr>
            <w:tcW w:w="1260" w:type="dxa"/>
            <w:noWrap/>
            <w:vAlign w:val="center"/>
          </w:tcPr>
          <w:p w14:paraId="6E124D55" w14:textId="352E73D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50</w:t>
            </w:r>
          </w:p>
        </w:tc>
      </w:tr>
      <w:tr w:rsidR="00470980" w:rsidRPr="00F549CC" w14:paraId="240063EB" w14:textId="77777777" w:rsidTr="006148C7">
        <w:trPr>
          <w:trHeight w:val="320"/>
        </w:trPr>
        <w:tc>
          <w:tcPr>
            <w:tcW w:w="1260" w:type="dxa"/>
            <w:noWrap/>
            <w:vAlign w:val="center"/>
          </w:tcPr>
          <w:p w14:paraId="2841AEB5" w14:textId="521EB521"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Orange</w:t>
            </w:r>
          </w:p>
        </w:tc>
        <w:tc>
          <w:tcPr>
            <w:tcW w:w="943" w:type="dxa"/>
            <w:noWrap/>
            <w:vAlign w:val="center"/>
          </w:tcPr>
          <w:p w14:paraId="7AD81CC8" w14:textId="7F178B6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29</w:t>
            </w:r>
          </w:p>
        </w:tc>
        <w:tc>
          <w:tcPr>
            <w:tcW w:w="947" w:type="dxa"/>
            <w:noWrap/>
            <w:vAlign w:val="center"/>
          </w:tcPr>
          <w:p w14:paraId="4FD52C5A" w14:textId="454BD52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15</w:t>
            </w:r>
          </w:p>
        </w:tc>
        <w:tc>
          <w:tcPr>
            <w:tcW w:w="720" w:type="dxa"/>
            <w:vAlign w:val="center"/>
          </w:tcPr>
          <w:p w14:paraId="401350BD" w14:textId="093CC77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w:t>
            </w:r>
          </w:p>
        </w:tc>
        <w:tc>
          <w:tcPr>
            <w:tcW w:w="720" w:type="dxa"/>
            <w:noWrap/>
            <w:vAlign w:val="center"/>
          </w:tcPr>
          <w:p w14:paraId="400D268C" w14:textId="7BBD87C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26</w:t>
            </w:r>
          </w:p>
        </w:tc>
        <w:tc>
          <w:tcPr>
            <w:tcW w:w="720" w:type="dxa"/>
            <w:noWrap/>
            <w:vAlign w:val="center"/>
          </w:tcPr>
          <w:p w14:paraId="538C9210" w14:textId="310E01A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42</w:t>
            </w:r>
          </w:p>
        </w:tc>
        <w:tc>
          <w:tcPr>
            <w:tcW w:w="990" w:type="dxa"/>
            <w:noWrap/>
            <w:vAlign w:val="center"/>
          </w:tcPr>
          <w:p w14:paraId="52CC5B69" w14:textId="01625E5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97</w:t>
            </w:r>
          </w:p>
        </w:tc>
        <w:tc>
          <w:tcPr>
            <w:tcW w:w="900" w:type="dxa"/>
            <w:vAlign w:val="center"/>
          </w:tcPr>
          <w:p w14:paraId="4521F9FE" w14:textId="35C97D4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04DB9EB2" w14:textId="0DD6FE0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24</w:t>
            </w:r>
          </w:p>
        </w:tc>
        <w:tc>
          <w:tcPr>
            <w:tcW w:w="1260" w:type="dxa"/>
            <w:noWrap/>
            <w:vAlign w:val="center"/>
          </w:tcPr>
          <w:p w14:paraId="7863B414" w14:textId="0BDD436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50</w:t>
            </w:r>
          </w:p>
        </w:tc>
      </w:tr>
      <w:tr w:rsidR="00470980" w:rsidRPr="00F549CC" w14:paraId="53CD4B75" w14:textId="77777777" w:rsidTr="006148C7">
        <w:trPr>
          <w:trHeight w:val="320"/>
        </w:trPr>
        <w:tc>
          <w:tcPr>
            <w:tcW w:w="1260" w:type="dxa"/>
            <w:noWrap/>
            <w:vAlign w:val="center"/>
          </w:tcPr>
          <w:p w14:paraId="3E060391" w14:textId="42701BAA"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Papaya</w:t>
            </w:r>
          </w:p>
        </w:tc>
        <w:tc>
          <w:tcPr>
            <w:tcW w:w="943" w:type="dxa"/>
            <w:noWrap/>
            <w:vAlign w:val="center"/>
          </w:tcPr>
          <w:p w14:paraId="07C39950" w14:textId="61E220A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30</w:t>
            </w:r>
          </w:p>
        </w:tc>
        <w:tc>
          <w:tcPr>
            <w:tcW w:w="947" w:type="dxa"/>
            <w:noWrap/>
            <w:vAlign w:val="center"/>
          </w:tcPr>
          <w:p w14:paraId="75DD380C" w14:textId="3B0B5C9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18</w:t>
            </w:r>
          </w:p>
        </w:tc>
        <w:tc>
          <w:tcPr>
            <w:tcW w:w="720" w:type="dxa"/>
            <w:vAlign w:val="center"/>
          </w:tcPr>
          <w:p w14:paraId="42BC2815" w14:textId="3DECEAD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w:t>
            </w:r>
          </w:p>
        </w:tc>
        <w:tc>
          <w:tcPr>
            <w:tcW w:w="720" w:type="dxa"/>
            <w:noWrap/>
            <w:vAlign w:val="center"/>
          </w:tcPr>
          <w:p w14:paraId="475A93E8" w14:textId="44FA4B5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24</w:t>
            </w:r>
          </w:p>
        </w:tc>
        <w:tc>
          <w:tcPr>
            <w:tcW w:w="720" w:type="dxa"/>
            <w:noWrap/>
            <w:vAlign w:val="center"/>
          </w:tcPr>
          <w:p w14:paraId="78E902CB" w14:textId="51283D0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32</w:t>
            </w:r>
          </w:p>
        </w:tc>
        <w:tc>
          <w:tcPr>
            <w:tcW w:w="990" w:type="dxa"/>
            <w:noWrap/>
            <w:vAlign w:val="center"/>
          </w:tcPr>
          <w:p w14:paraId="1E1D2BF2" w14:textId="0FB98D1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96</w:t>
            </w:r>
          </w:p>
        </w:tc>
        <w:tc>
          <w:tcPr>
            <w:tcW w:w="900" w:type="dxa"/>
            <w:vAlign w:val="center"/>
          </w:tcPr>
          <w:p w14:paraId="2FE1A0CB" w14:textId="5C66352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602BA2AD" w14:textId="5812AAF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26</w:t>
            </w:r>
          </w:p>
        </w:tc>
        <w:tc>
          <w:tcPr>
            <w:tcW w:w="1260" w:type="dxa"/>
            <w:noWrap/>
            <w:vAlign w:val="center"/>
          </w:tcPr>
          <w:p w14:paraId="050CB6CB" w14:textId="5F3547E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49</w:t>
            </w:r>
          </w:p>
        </w:tc>
      </w:tr>
      <w:tr w:rsidR="00470980" w:rsidRPr="00F549CC" w14:paraId="412EF897" w14:textId="77777777" w:rsidTr="006148C7">
        <w:trPr>
          <w:trHeight w:val="320"/>
        </w:trPr>
        <w:tc>
          <w:tcPr>
            <w:tcW w:w="1260" w:type="dxa"/>
            <w:noWrap/>
            <w:vAlign w:val="center"/>
          </w:tcPr>
          <w:p w14:paraId="05D4ACD0" w14:textId="1A144D06"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Potato</w:t>
            </w:r>
          </w:p>
        </w:tc>
        <w:tc>
          <w:tcPr>
            <w:tcW w:w="943" w:type="dxa"/>
            <w:noWrap/>
            <w:vAlign w:val="center"/>
          </w:tcPr>
          <w:p w14:paraId="4AF64ADA" w14:textId="17DBAC6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19</w:t>
            </w:r>
          </w:p>
        </w:tc>
        <w:tc>
          <w:tcPr>
            <w:tcW w:w="947" w:type="dxa"/>
            <w:noWrap/>
            <w:vAlign w:val="center"/>
          </w:tcPr>
          <w:p w14:paraId="65A27C3D" w14:textId="6172DC3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20</w:t>
            </w:r>
          </w:p>
        </w:tc>
        <w:tc>
          <w:tcPr>
            <w:tcW w:w="720" w:type="dxa"/>
            <w:vAlign w:val="center"/>
          </w:tcPr>
          <w:p w14:paraId="25851158" w14:textId="0E77052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w:t>
            </w:r>
          </w:p>
        </w:tc>
        <w:tc>
          <w:tcPr>
            <w:tcW w:w="720" w:type="dxa"/>
            <w:noWrap/>
            <w:vAlign w:val="center"/>
          </w:tcPr>
          <w:p w14:paraId="7CF726FF" w14:textId="070E1EA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53</w:t>
            </w:r>
          </w:p>
        </w:tc>
        <w:tc>
          <w:tcPr>
            <w:tcW w:w="720" w:type="dxa"/>
            <w:noWrap/>
            <w:vAlign w:val="center"/>
          </w:tcPr>
          <w:p w14:paraId="309FF029" w14:textId="43BA08C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20</w:t>
            </w:r>
          </w:p>
        </w:tc>
        <w:tc>
          <w:tcPr>
            <w:tcW w:w="990" w:type="dxa"/>
            <w:noWrap/>
            <w:vAlign w:val="center"/>
          </w:tcPr>
          <w:p w14:paraId="02CD218D" w14:textId="52F0025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93</w:t>
            </w:r>
          </w:p>
        </w:tc>
        <w:tc>
          <w:tcPr>
            <w:tcW w:w="900" w:type="dxa"/>
            <w:vAlign w:val="center"/>
          </w:tcPr>
          <w:p w14:paraId="6F82D2A1" w14:textId="5C970FC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128CCABC" w14:textId="2A456AB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29</w:t>
            </w:r>
          </w:p>
        </w:tc>
        <w:tc>
          <w:tcPr>
            <w:tcW w:w="1260" w:type="dxa"/>
            <w:noWrap/>
            <w:vAlign w:val="center"/>
          </w:tcPr>
          <w:p w14:paraId="3E4A3DBB" w14:textId="441C8A8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49</w:t>
            </w:r>
          </w:p>
        </w:tc>
      </w:tr>
      <w:tr w:rsidR="00470980" w:rsidRPr="00F549CC" w14:paraId="6A819C97" w14:textId="77777777" w:rsidTr="006148C7">
        <w:trPr>
          <w:trHeight w:val="320"/>
        </w:trPr>
        <w:tc>
          <w:tcPr>
            <w:tcW w:w="1260" w:type="dxa"/>
            <w:noWrap/>
            <w:vAlign w:val="center"/>
          </w:tcPr>
          <w:p w14:paraId="42038189" w14:textId="15FB7440"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Green pepper</w:t>
            </w:r>
          </w:p>
        </w:tc>
        <w:tc>
          <w:tcPr>
            <w:tcW w:w="943" w:type="dxa"/>
            <w:noWrap/>
            <w:vAlign w:val="center"/>
          </w:tcPr>
          <w:p w14:paraId="1B8D45F4" w14:textId="6AA783D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31</w:t>
            </w:r>
          </w:p>
        </w:tc>
        <w:tc>
          <w:tcPr>
            <w:tcW w:w="947" w:type="dxa"/>
            <w:noWrap/>
            <w:vAlign w:val="center"/>
          </w:tcPr>
          <w:p w14:paraId="15C16BAC" w14:textId="377A42C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11</w:t>
            </w:r>
          </w:p>
        </w:tc>
        <w:tc>
          <w:tcPr>
            <w:tcW w:w="720" w:type="dxa"/>
            <w:vAlign w:val="center"/>
          </w:tcPr>
          <w:p w14:paraId="384C6AA5" w14:textId="6860741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w:t>
            </w:r>
          </w:p>
        </w:tc>
        <w:tc>
          <w:tcPr>
            <w:tcW w:w="720" w:type="dxa"/>
            <w:noWrap/>
            <w:vAlign w:val="center"/>
          </w:tcPr>
          <w:p w14:paraId="66A40884" w14:textId="57520E6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30</w:t>
            </w:r>
          </w:p>
        </w:tc>
        <w:tc>
          <w:tcPr>
            <w:tcW w:w="720" w:type="dxa"/>
            <w:noWrap/>
            <w:vAlign w:val="center"/>
          </w:tcPr>
          <w:p w14:paraId="3DE7A238" w14:textId="01FFC89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25</w:t>
            </w:r>
          </w:p>
        </w:tc>
        <w:tc>
          <w:tcPr>
            <w:tcW w:w="990" w:type="dxa"/>
            <w:noWrap/>
            <w:vAlign w:val="center"/>
          </w:tcPr>
          <w:p w14:paraId="7A471841" w14:textId="4CBFC2D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98</w:t>
            </w:r>
          </w:p>
        </w:tc>
        <w:tc>
          <w:tcPr>
            <w:tcW w:w="900" w:type="dxa"/>
            <w:vAlign w:val="center"/>
          </w:tcPr>
          <w:p w14:paraId="4A1C65F2" w14:textId="73A1A3F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147A749F" w14:textId="1B1C3BF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24</w:t>
            </w:r>
          </w:p>
        </w:tc>
        <w:tc>
          <w:tcPr>
            <w:tcW w:w="1260" w:type="dxa"/>
            <w:noWrap/>
            <w:vAlign w:val="center"/>
          </w:tcPr>
          <w:p w14:paraId="38D8A6BE" w14:textId="2535F2C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48</w:t>
            </w:r>
          </w:p>
        </w:tc>
      </w:tr>
      <w:tr w:rsidR="00470980" w:rsidRPr="00F549CC" w14:paraId="59AA4B7D" w14:textId="77777777" w:rsidTr="006148C7">
        <w:trPr>
          <w:trHeight w:val="320"/>
        </w:trPr>
        <w:tc>
          <w:tcPr>
            <w:tcW w:w="1260" w:type="dxa"/>
            <w:noWrap/>
            <w:vAlign w:val="center"/>
          </w:tcPr>
          <w:p w14:paraId="09613755" w14:textId="21AEEFDE"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Durian</w:t>
            </w:r>
          </w:p>
        </w:tc>
        <w:tc>
          <w:tcPr>
            <w:tcW w:w="943" w:type="dxa"/>
            <w:noWrap/>
            <w:vAlign w:val="center"/>
          </w:tcPr>
          <w:p w14:paraId="71946F9F" w14:textId="4F34E6F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29</w:t>
            </w:r>
          </w:p>
        </w:tc>
        <w:tc>
          <w:tcPr>
            <w:tcW w:w="947" w:type="dxa"/>
            <w:noWrap/>
            <w:vAlign w:val="center"/>
          </w:tcPr>
          <w:p w14:paraId="668B2C5B" w14:textId="3B8EAC3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16</w:t>
            </w:r>
          </w:p>
        </w:tc>
        <w:tc>
          <w:tcPr>
            <w:tcW w:w="720" w:type="dxa"/>
            <w:vAlign w:val="center"/>
          </w:tcPr>
          <w:p w14:paraId="04319A2B" w14:textId="6B70885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w:t>
            </w:r>
          </w:p>
        </w:tc>
        <w:tc>
          <w:tcPr>
            <w:tcW w:w="720" w:type="dxa"/>
            <w:noWrap/>
            <w:vAlign w:val="center"/>
          </w:tcPr>
          <w:p w14:paraId="7DF427CD" w14:textId="572ABEA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24</w:t>
            </w:r>
          </w:p>
        </w:tc>
        <w:tc>
          <w:tcPr>
            <w:tcW w:w="720" w:type="dxa"/>
            <w:noWrap/>
            <w:vAlign w:val="center"/>
          </w:tcPr>
          <w:p w14:paraId="1AA7EEEB" w14:textId="1DE0F91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35</w:t>
            </w:r>
          </w:p>
        </w:tc>
        <w:tc>
          <w:tcPr>
            <w:tcW w:w="990" w:type="dxa"/>
            <w:noWrap/>
            <w:vAlign w:val="center"/>
          </w:tcPr>
          <w:p w14:paraId="37856232" w14:textId="5AC0BAD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96</w:t>
            </w:r>
          </w:p>
        </w:tc>
        <w:tc>
          <w:tcPr>
            <w:tcW w:w="900" w:type="dxa"/>
            <w:vAlign w:val="center"/>
          </w:tcPr>
          <w:p w14:paraId="4879304B" w14:textId="2ECC17D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w:t>
            </w:r>
          </w:p>
        </w:tc>
        <w:tc>
          <w:tcPr>
            <w:tcW w:w="990" w:type="dxa"/>
            <w:noWrap/>
            <w:vAlign w:val="center"/>
          </w:tcPr>
          <w:p w14:paraId="1314F42E" w14:textId="66BAFE6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24</w:t>
            </w:r>
          </w:p>
        </w:tc>
        <w:tc>
          <w:tcPr>
            <w:tcW w:w="1260" w:type="dxa"/>
            <w:noWrap/>
            <w:vAlign w:val="center"/>
          </w:tcPr>
          <w:p w14:paraId="25E83E49" w14:textId="2EBF705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48</w:t>
            </w:r>
          </w:p>
        </w:tc>
      </w:tr>
      <w:tr w:rsidR="00470980" w:rsidRPr="00F549CC" w14:paraId="545BFB2C" w14:textId="77777777" w:rsidTr="006148C7">
        <w:trPr>
          <w:trHeight w:val="320"/>
        </w:trPr>
        <w:tc>
          <w:tcPr>
            <w:tcW w:w="1260" w:type="dxa"/>
            <w:noWrap/>
            <w:vAlign w:val="center"/>
          </w:tcPr>
          <w:p w14:paraId="751ED37F" w14:textId="0145A428"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Peanut butter</w:t>
            </w:r>
          </w:p>
        </w:tc>
        <w:tc>
          <w:tcPr>
            <w:tcW w:w="943" w:type="dxa"/>
            <w:noWrap/>
            <w:vAlign w:val="center"/>
          </w:tcPr>
          <w:p w14:paraId="3AA4AE37" w14:textId="67B7513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34</w:t>
            </w:r>
          </w:p>
        </w:tc>
        <w:tc>
          <w:tcPr>
            <w:tcW w:w="947" w:type="dxa"/>
            <w:noWrap/>
            <w:vAlign w:val="center"/>
          </w:tcPr>
          <w:p w14:paraId="5ABC5037" w14:textId="7EB4B8F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42</w:t>
            </w:r>
          </w:p>
        </w:tc>
        <w:tc>
          <w:tcPr>
            <w:tcW w:w="720" w:type="dxa"/>
            <w:vAlign w:val="center"/>
          </w:tcPr>
          <w:p w14:paraId="055E3ED4" w14:textId="762A158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720" w:type="dxa"/>
            <w:noWrap/>
            <w:vAlign w:val="center"/>
          </w:tcPr>
          <w:p w14:paraId="0B9CED43" w14:textId="4787F44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28</w:t>
            </w:r>
          </w:p>
        </w:tc>
        <w:tc>
          <w:tcPr>
            <w:tcW w:w="720" w:type="dxa"/>
            <w:noWrap/>
            <w:vAlign w:val="center"/>
          </w:tcPr>
          <w:p w14:paraId="1E46D731" w14:textId="45B2BF0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40</w:t>
            </w:r>
          </w:p>
        </w:tc>
        <w:tc>
          <w:tcPr>
            <w:tcW w:w="990" w:type="dxa"/>
            <w:noWrap/>
            <w:vAlign w:val="center"/>
          </w:tcPr>
          <w:p w14:paraId="1EBA40F4" w14:textId="75573FB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98</w:t>
            </w:r>
          </w:p>
        </w:tc>
        <w:tc>
          <w:tcPr>
            <w:tcW w:w="900" w:type="dxa"/>
            <w:vAlign w:val="center"/>
          </w:tcPr>
          <w:p w14:paraId="365282D8" w14:textId="2F3436F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-100</w:t>
            </w:r>
          </w:p>
        </w:tc>
        <w:tc>
          <w:tcPr>
            <w:tcW w:w="990" w:type="dxa"/>
            <w:noWrap/>
            <w:vAlign w:val="center"/>
          </w:tcPr>
          <w:p w14:paraId="6A5A956C" w14:textId="012D290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40</w:t>
            </w:r>
          </w:p>
        </w:tc>
        <w:tc>
          <w:tcPr>
            <w:tcW w:w="1260" w:type="dxa"/>
            <w:noWrap/>
            <w:vAlign w:val="center"/>
          </w:tcPr>
          <w:p w14:paraId="302346B3" w14:textId="3C8AB03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47</w:t>
            </w:r>
          </w:p>
        </w:tc>
      </w:tr>
      <w:tr w:rsidR="00470980" w:rsidRPr="00F549CC" w14:paraId="43E2F84B" w14:textId="77777777" w:rsidTr="006148C7">
        <w:trPr>
          <w:trHeight w:val="320"/>
        </w:trPr>
        <w:tc>
          <w:tcPr>
            <w:tcW w:w="1260" w:type="dxa"/>
            <w:noWrap/>
            <w:vAlign w:val="center"/>
          </w:tcPr>
          <w:p w14:paraId="67BF9F06" w14:textId="2F978900"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Low-fat cottage cheese</w:t>
            </w:r>
          </w:p>
        </w:tc>
        <w:tc>
          <w:tcPr>
            <w:tcW w:w="943" w:type="dxa"/>
            <w:noWrap/>
            <w:vAlign w:val="center"/>
          </w:tcPr>
          <w:p w14:paraId="3D44936E" w14:textId="636F817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13</w:t>
            </w:r>
          </w:p>
        </w:tc>
        <w:tc>
          <w:tcPr>
            <w:tcW w:w="947" w:type="dxa"/>
            <w:noWrap/>
            <w:vAlign w:val="center"/>
          </w:tcPr>
          <w:p w14:paraId="0AD8AC2B" w14:textId="47C6A27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w:t>
            </w:r>
          </w:p>
        </w:tc>
        <w:tc>
          <w:tcPr>
            <w:tcW w:w="720" w:type="dxa"/>
            <w:vAlign w:val="center"/>
          </w:tcPr>
          <w:p w14:paraId="3551B2DB" w14:textId="2A53D98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w:t>
            </w:r>
          </w:p>
        </w:tc>
        <w:tc>
          <w:tcPr>
            <w:tcW w:w="720" w:type="dxa"/>
            <w:noWrap/>
            <w:vAlign w:val="center"/>
          </w:tcPr>
          <w:p w14:paraId="1A474F1B" w14:textId="6DCD7E5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94</w:t>
            </w:r>
          </w:p>
        </w:tc>
        <w:tc>
          <w:tcPr>
            <w:tcW w:w="720" w:type="dxa"/>
            <w:noWrap/>
            <w:vAlign w:val="center"/>
          </w:tcPr>
          <w:p w14:paraId="3CB28697" w14:textId="7F73B49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990" w:type="dxa"/>
            <w:noWrap/>
            <w:vAlign w:val="center"/>
          </w:tcPr>
          <w:p w14:paraId="27E22925" w14:textId="14E372C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90</w:t>
            </w:r>
          </w:p>
        </w:tc>
        <w:tc>
          <w:tcPr>
            <w:tcW w:w="900" w:type="dxa"/>
            <w:vAlign w:val="center"/>
          </w:tcPr>
          <w:p w14:paraId="407E0806" w14:textId="74B7DEA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w:t>
            </w:r>
          </w:p>
        </w:tc>
        <w:tc>
          <w:tcPr>
            <w:tcW w:w="990" w:type="dxa"/>
            <w:noWrap/>
            <w:vAlign w:val="center"/>
          </w:tcPr>
          <w:p w14:paraId="2A514590" w14:textId="4CE50DF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31</w:t>
            </w:r>
          </w:p>
        </w:tc>
        <w:tc>
          <w:tcPr>
            <w:tcW w:w="1260" w:type="dxa"/>
            <w:noWrap/>
            <w:vAlign w:val="center"/>
          </w:tcPr>
          <w:p w14:paraId="0AE665FB" w14:textId="0A54EAF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47</w:t>
            </w:r>
          </w:p>
        </w:tc>
      </w:tr>
      <w:tr w:rsidR="00470980" w:rsidRPr="00F549CC" w14:paraId="51ACAE8A" w14:textId="77777777" w:rsidTr="006148C7">
        <w:trPr>
          <w:trHeight w:val="320"/>
        </w:trPr>
        <w:tc>
          <w:tcPr>
            <w:tcW w:w="1260" w:type="dxa"/>
            <w:noWrap/>
            <w:vAlign w:val="center"/>
          </w:tcPr>
          <w:p w14:paraId="755C323B" w14:textId="76C798DD"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Taro</w:t>
            </w:r>
          </w:p>
        </w:tc>
        <w:tc>
          <w:tcPr>
            <w:tcW w:w="943" w:type="dxa"/>
            <w:noWrap/>
            <w:vAlign w:val="center"/>
          </w:tcPr>
          <w:p w14:paraId="6CFFEB3B" w14:textId="624055E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20</w:t>
            </w:r>
          </w:p>
        </w:tc>
        <w:tc>
          <w:tcPr>
            <w:tcW w:w="947" w:type="dxa"/>
            <w:noWrap/>
            <w:vAlign w:val="center"/>
          </w:tcPr>
          <w:p w14:paraId="30F0228E" w14:textId="592BCC3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19</w:t>
            </w:r>
          </w:p>
        </w:tc>
        <w:tc>
          <w:tcPr>
            <w:tcW w:w="720" w:type="dxa"/>
            <w:vAlign w:val="center"/>
          </w:tcPr>
          <w:p w14:paraId="076A7FA0" w14:textId="00454EC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w:t>
            </w:r>
          </w:p>
        </w:tc>
        <w:tc>
          <w:tcPr>
            <w:tcW w:w="720" w:type="dxa"/>
            <w:noWrap/>
            <w:vAlign w:val="center"/>
          </w:tcPr>
          <w:p w14:paraId="1BAECF08" w14:textId="7DEB7C4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25</w:t>
            </w:r>
          </w:p>
        </w:tc>
        <w:tc>
          <w:tcPr>
            <w:tcW w:w="720" w:type="dxa"/>
            <w:noWrap/>
            <w:vAlign w:val="center"/>
          </w:tcPr>
          <w:p w14:paraId="1C491856" w14:textId="4E0CCB0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47</w:t>
            </w:r>
          </w:p>
        </w:tc>
        <w:tc>
          <w:tcPr>
            <w:tcW w:w="990" w:type="dxa"/>
            <w:noWrap/>
            <w:vAlign w:val="center"/>
          </w:tcPr>
          <w:p w14:paraId="3B375816" w14:textId="5BD4A13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96</w:t>
            </w:r>
          </w:p>
        </w:tc>
        <w:tc>
          <w:tcPr>
            <w:tcW w:w="900" w:type="dxa"/>
            <w:vAlign w:val="center"/>
          </w:tcPr>
          <w:p w14:paraId="22AD3F5E" w14:textId="073A334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w:t>
            </w:r>
          </w:p>
        </w:tc>
        <w:tc>
          <w:tcPr>
            <w:tcW w:w="990" w:type="dxa"/>
            <w:noWrap/>
            <w:vAlign w:val="center"/>
          </w:tcPr>
          <w:p w14:paraId="553B0A59" w14:textId="5ECE9C6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21</w:t>
            </w:r>
          </w:p>
        </w:tc>
        <w:tc>
          <w:tcPr>
            <w:tcW w:w="1260" w:type="dxa"/>
            <w:noWrap/>
            <w:vAlign w:val="center"/>
          </w:tcPr>
          <w:p w14:paraId="5508E7AD" w14:textId="3754468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47</w:t>
            </w:r>
          </w:p>
        </w:tc>
      </w:tr>
      <w:tr w:rsidR="00470980" w:rsidRPr="00F549CC" w14:paraId="1E17E80D" w14:textId="77777777" w:rsidTr="006148C7">
        <w:trPr>
          <w:trHeight w:val="320"/>
        </w:trPr>
        <w:tc>
          <w:tcPr>
            <w:tcW w:w="1260" w:type="dxa"/>
            <w:noWrap/>
            <w:vAlign w:val="center"/>
          </w:tcPr>
          <w:p w14:paraId="68B0C40A" w14:textId="3721D08E"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Cashews</w:t>
            </w:r>
          </w:p>
        </w:tc>
        <w:tc>
          <w:tcPr>
            <w:tcW w:w="943" w:type="dxa"/>
            <w:noWrap/>
            <w:vAlign w:val="center"/>
          </w:tcPr>
          <w:p w14:paraId="605DA0A7" w14:textId="274A9D9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18</w:t>
            </w:r>
          </w:p>
        </w:tc>
        <w:tc>
          <w:tcPr>
            <w:tcW w:w="947" w:type="dxa"/>
            <w:noWrap/>
            <w:vAlign w:val="center"/>
          </w:tcPr>
          <w:p w14:paraId="02E90B87" w14:textId="748BB68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64</w:t>
            </w:r>
          </w:p>
        </w:tc>
        <w:tc>
          <w:tcPr>
            <w:tcW w:w="720" w:type="dxa"/>
            <w:vAlign w:val="center"/>
          </w:tcPr>
          <w:p w14:paraId="416BD9E3" w14:textId="2EE6B76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w:t>
            </w:r>
          </w:p>
        </w:tc>
        <w:tc>
          <w:tcPr>
            <w:tcW w:w="720" w:type="dxa"/>
            <w:noWrap/>
            <w:vAlign w:val="center"/>
          </w:tcPr>
          <w:p w14:paraId="6192BADF" w14:textId="6417D4F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26</w:t>
            </w:r>
          </w:p>
        </w:tc>
        <w:tc>
          <w:tcPr>
            <w:tcW w:w="720" w:type="dxa"/>
            <w:noWrap/>
            <w:vAlign w:val="center"/>
          </w:tcPr>
          <w:p w14:paraId="5517F2F3" w14:textId="015312E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20</w:t>
            </w:r>
          </w:p>
        </w:tc>
        <w:tc>
          <w:tcPr>
            <w:tcW w:w="990" w:type="dxa"/>
            <w:noWrap/>
            <w:vAlign w:val="center"/>
          </w:tcPr>
          <w:p w14:paraId="12D02A5F" w14:textId="6B0900B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93</w:t>
            </w:r>
          </w:p>
        </w:tc>
        <w:tc>
          <w:tcPr>
            <w:tcW w:w="900" w:type="dxa"/>
            <w:vAlign w:val="center"/>
          </w:tcPr>
          <w:p w14:paraId="11E8B4A9" w14:textId="536D02F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-95</w:t>
            </w:r>
          </w:p>
        </w:tc>
        <w:tc>
          <w:tcPr>
            <w:tcW w:w="990" w:type="dxa"/>
            <w:noWrap/>
            <w:vAlign w:val="center"/>
          </w:tcPr>
          <w:p w14:paraId="56F64D09" w14:textId="1817694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43</w:t>
            </w:r>
          </w:p>
        </w:tc>
        <w:tc>
          <w:tcPr>
            <w:tcW w:w="1260" w:type="dxa"/>
            <w:noWrap/>
            <w:vAlign w:val="center"/>
          </w:tcPr>
          <w:p w14:paraId="41F639E5" w14:textId="552E1DA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46</w:t>
            </w:r>
          </w:p>
        </w:tc>
      </w:tr>
      <w:tr w:rsidR="00470980" w:rsidRPr="00F549CC" w14:paraId="40C6FCD6" w14:textId="77777777" w:rsidTr="006148C7">
        <w:trPr>
          <w:trHeight w:val="320"/>
        </w:trPr>
        <w:tc>
          <w:tcPr>
            <w:tcW w:w="1260" w:type="dxa"/>
            <w:noWrap/>
            <w:vAlign w:val="center"/>
          </w:tcPr>
          <w:p w14:paraId="162DF6BE" w14:textId="6533B813"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Grapefruit</w:t>
            </w:r>
          </w:p>
        </w:tc>
        <w:tc>
          <w:tcPr>
            <w:tcW w:w="943" w:type="dxa"/>
            <w:noWrap/>
            <w:vAlign w:val="center"/>
          </w:tcPr>
          <w:p w14:paraId="7C5F9D74" w14:textId="0C29A42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27</w:t>
            </w:r>
          </w:p>
        </w:tc>
        <w:tc>
          <w:tcPr>
            <w:tcW w:w="947" w:type="dxa"/>
            <w:noWrap/>
            <w:vAlign w:val="center"/>
          </w:tcPr>
          <w:p w14:paraId="7B286173" w14:textId="348AE0D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12</w:t>
            </w:r>
          </w:p>
        </w:tc>
        <w:tc>
          <w:tcPr>
            <w:tcW w:w="720" w:type="dxa"/>
            <w:vAlign w:val="center"/>
          </w:tcPr>
          <w:p w14:paraId="572F71C9" w14:textId="4EE0FAF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w:t>
            </w:r>
          </w:p>
        </w:tc>
        <w:tc>
          <w:tcPr>
            <w:tcW w:w="720" w:type="dxa"/>
            <w:noWrap/>
            <w:vAlign w:val="center"/>
          </w:tcPr>
          <w:p w14:paraId="522D1358" w14:textId="2809960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25</w:t>
            </w:r>
          </w:p>
        </w:tc>
        <w:tc>
          <w:tcPr>
            <w:tcW w:w="720" w:type="dxa"/>
            <w:noWrap/>
            <w:vAlign w:val="center"/>
          </w:tcPr>
          <w:p w14:paraId="264C0351" w14:textId="12CE37E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26</w:t>
            </w:r>
          </w:p>
        </w:tc>
        <w:tc>
          <w:tcPr>
            <w:tcW w:w="990" w:type="dxa"/>
            <w:noWrap/>
            <w:vAlign w:val="center"/>
          </w:tcPr>
          <w:p w14:paraId="4D2806ED" w14:textId="0C43883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95</w:t>
            </w:r>
          </w:p>
        </w:tc>
        <w:tc>
          <w:tcPr>
            <w:tcW w:w="900" w:type="dxa"/>
            <w:vAlign w:val="center"/>
          </w:tcPr>
          <w:p w14:paraId="45FFF8BC" w14:textId="15CC692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139E9D66" w14:textId="5DEB2DE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22</w:t>
            </w:r>
          </w:p>
        </w:tc>
        <w:tc>
          <w:tcPr>
            <w:tcW w:w="1260" w:type="dxa"/>
            <w:noWrap/>
            <w:vAlign w:val="center"/>
          </w:tcPr>
          <w:p w14:paraId="470909BA" w14:textId="224DA36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46</w:t>
            </w:r>
          </w:p>
        </w:tc>
      </w:tr>
      <w:tr w:rsidR="00470980" w:rsidRPr="00F549CC" w14:paraId="32F8A1CD" w14:textId="77777777" w:rsidTr="006148C7">
        <w:trPr>
          <w:trHeight w:val="320"/>
        </w:trPr>
        <w:tc>
          <w:tcPr>
            <w:tcW w:w="1260" w:type="dxa"/>
            <w:noWrap/>
            <w:vAlign w:val="center"/>
          </w:tcPr>
          <w:p w14:paraId="2CDE7689" w14:textId="1781A89E"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Breadfruit</w:t>
            </w:r>
          </w:p>
        </w:tc>
        <w:tc>
          <w:tcPr>
            <w:tcW w:w="943" w:type="dxa"/>
            <w:noWrap/>
            <w:vAlign w:val="center"/>
          </w:tcPr>
          <w:p w14:paraId="6D76229C" w14:textId="642E69D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17</w:t>
            </w:r>
          </w:p>
        </w:tc>
        <w:tc>
          <w:tcPr>
            <w:tcW w:w="947" w:type="dxa"/>
            <w:noWrap/>
            <w:vAlign w:val="center"/>
          </w:tcPr>
          <w:p w14:paraId="681AA764" w14:textId="639F895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17</w:t>
            </w:r>
          </w:p>
        </w:tc>
        <w:tc>
          <w:tcPr>
            <w:tcW w:w="720" w:type="dxa"/>
            <w:vAlign w:val="center"/>
          </w:tcPr>
          <w:p w14:paraId="619496BF" w14:textId="7A65A55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w:t>
            </w:r>
          </w:p>
        </w:tc>
        <w:tc>
          <w:tcPr>
            <w:tcW w:w="720" w:type="dxa"/>
            <w:noWrap/>
            <w:vAlign w:val="center"/>
          </w:tcPr>
          <w:p w14:paraId="1C67FB0D" w14:textId="28845A9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26</w:t>
            </w:r>
          </w:p>
        </w:tc>
        <w:tc>
          <w:tcPr>
            <w:tcW w:w="720" w:type="dxa"/>
            <w:noWrap/>
            <w:vAlign w:val="center"/>
          </w:tcPr>
          <w:p w14:paraId="5C16D725" w14:textId="7894FD7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46</w:t>
            </w:r>
          </w:p>
        </w:tc>
        <w:tc>
          <w:tcPr>
            <w:tcW w:w="990" w:type="dxa"/>
            <w:noWrap/>
            <w:vAlign w:val="center"/>
          </w:tcPr>
          <w:p w14:paraId="734893D5" w14:textId="06CBD20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95</w:t>
            </w:r>
          </w:p>
        </w:tc>
        <w:tc>
          <w:tcPr>
            <w:tcW w:w="900" w:type="dxa"/>
            <w:vAlign w:val="center"/>
          </w:tcPr>
          <w:p w14:paraId="0833F349" w14:textId="5445720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425C5A13" w14:textId="0733FFF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19</w:t>
            </w:r>
          </w:p>
        </w:tc>
        <w:tc>
          <w:tcPr>
            <w:tcW w:w="1260" w:type="dxa"/>
            <w:noWrap/>
            <w:vAlign w:val="center"/>
          </w:tcPr>
          <w:p w14:paraId="6BF862F1" w14:textId="70F03C0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46</w:t>
            </w:r>
          </w:p>
        </w:tc>
      </w:tr>
      <w:tr w:rsidR="00470980" w:rsidRPr="00F549CC" w14:paraId="0EE5FD33" w14:textId="77777777" w:rsidTr="006148C7">
        <w:trPr>
          <w:trHeight w:val="320"/>
        </w:trPr>
        <w:tc>
          <w:tcPr>
            <w:tcW w:w="1260" w:type="dxa"/>
            <w:noWrap/>
            <w:vAlign w:val="center"/>
          </w:tcPr>
          <w:p w14:paraId="0763FEAE" w14:textId="4B3C2F23"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Mango</w:t>
            </w:r>
          </w:p>
        </w:tc>
        <w:tc>
          <w:tcPr>
            <w:tcW w:w="943" w:type="dxa"/>
            <w:noWrap/>
            <w:vAlign w:val="center"/>
          </w:tcPr>
          <w:p w14:paraId="222E1E72" w14:textId="5EE933F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32</w:t>
            </w:r>
          </w:p>
        </w:tc>
        <w:tc>
          <w:tcPr>
            <w:tcW w:w="947" w:type="dxa"/>
            <w:noWrap/>
            <w:vAlign w:val="center"/>
          </w:tcPr>
          <w:p w14:paraId="5E52CEF5" w14:textId="337AA9C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w:t>
            </w:r>
          </w:p>
        </w:tc>
        <w:tc>
          <w:tcPr>
            <w:tcW w:w="720" w:type="dxa"/>
            <w:vAlign w:val="center"/>
          </w:tcPr>
          <w:p w14:paraId="29DA7B26" w14:textId="03CFE92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w:t>
            </w:r>
          </w:p>
        </w:tc>
        <w:tc>
          <w:tcPr>
            <w:tcW w:w="720" w:type="dxa"/>
            <w:noWrap/>
            <w:vAlign w:val="center"/>
          </w:tcPr>
          <w:p w14:paraId="3DB33B18" w14:textId="5A2F1C1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26</w:t>
            </w:r>
          </w:p>
        </w:tc>
        <w:tc>
          <w:tcPr>
            <w:tcW w:w="720" w:type="dxa"/>
            <w:noWrap/>
            <w:vAlign w:val="center"/>
          </w:tcPr>
          <w:p w14:paraId="1FEEDCD7" w14:textId="5C5538F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24</w:t>
            </w:r>
          </w:p>
        </w:tc>
        <w:tc>
          <w:tcPr>
            <w:tcW w:w="990" w:type="dxa"/>
            <w:noWrap/>
            <w:vAlign w:val="center"/>
          </w:tcPr>
          <w:p w14:paraId="299AE4C5" w14:textId="4C76D4F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94</w:t>
            </w:r>
          </w:p>
        </w:tc>
        <w:tc>
          <w:tcPr>
            <w:tcW w:w="900" w:type="dxa"/>
            <w:vAlign w:val="center"/>
          </w:tcPr>
          <w:p w14:paraId="0F87AF27" w14:textId="05D5BA6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36472A0A" w14:textId="735D397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23</w:t>
            </w:r>
          </w:p>
        </w:tc>
        <w:tc>
          <w:tcPr>
            <w:tcW w:w="1260" w:type="dxa"/>
            <w:noWrap/>
            <w:vAlign w:val="center"/>
          </w:tcPr>
          <w:p w14:paraId="63249E9E" w14:textId="5A71821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46</w:t>
            </w:r>
          </w:p>
        </w:tc>
      </w:tr>
      <w:tr w:rsidR="00470980" w:rsidRPr="00F549CC" w14:paraId="4E138E3D" w14:textId="77777777" w:rsidTr="006148C7">
        <w:trPr>
          <w:trHeight w:val="320"/>
        </w:trPr>
        <w:tc>
          <w:tcPr>
            <w:tcW w:w="1260" w:type="dxa"/>
            <w:noWrap/>
            <w:vAlign w:val="center"/>
          </w:tcPr>
          <w:p w14:paraId="282F534A" w14:textId="4F985E55"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Tangerine</w:t>
            </w:r>
          </w:p>
        </w:tc>
        <w:tc>
          <w:tcPr>
            <w:tcW w:w="943" w:type="dxa"/>
            <w:noWrap/>
            <w:vAlign w:val="center"/>
          </w:tcPr>
          <w:p w14:paraId="3A9AF57B" w14:textId="2367C2A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24</w:t>
            </w:r>
          </w:p>
        </w:tc>
        <w:tc>
          <w:tcPr>
            <w:tcW w:w="947" w:type="dxa"/>
            <w:noWrap/>
            <w:vAlign w:val="center"/>
          </w:tcPr>
          <w:p w14:paraId="65C840FB" w14:textId="5EA2C64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13</w:t>
            </w:r>
          </w:p>
        </w:tc>
        <w:tc>
          <w:tcPr>
            <w:tcW w:w="720" w:type="dxa"/>
            <w:vAlign w:val="center"/>
          </w:tcPr>
          <w:p w14:paraId="4E71BA18" w14:textId="259E3EB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w:t>
            </w:r>
          </w:p>
        </w:tc>
        <w:tc>
          <w:tcPr>
            <w:tcW w:w="720" w:type="dxa"/>
            <w:noWrap/>
            <w:vAlign w:val="center"/>
          </w:tcPr>
          <w:p w14:paraId="7BFD0D8C" w14:textId="42D86B3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25</w:t>
            </w:r>
          </w:p>
        </w:tc>
        <w:tc>
          <w:tcPr>
            <w:tcW w:w="720" w:type="dxa"/>
            <w:noWrap/>
            <w:vAlign w:val="center"/>
          </w:tcPr>
          <w:p w14:paraId="35FDA41A" w14:textId="0395DF1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29</w:t>
            </w:r>
          </w:p>
        </w:tc>
        <w:tc>
          <w:tcPr>
            <w:tcW w:w="990" w:type="dxa"/>
            <w:noWrap/>
            <w:vAlign w:val="center"/>
          </w:tcPr>
          <w:p w14:paraId="5E8D5707" w14:textId="279B70F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95</w:t>
            </w:r>
          </w:p>
        </w:tc>
        <w:tc>
          <w:tcPr>
            <w:tcW w:w="900" w:type="dxa"/>
            <w:vAlign w:val="center"/>
          </w:tcPr>
          <w:p w14:paraId="22B7D52A" w14:textId="1149426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6F50A2B9" w14:textId="4285CD6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21</w:t>
            </w:r>
          </w:p>
        </w:tc>
        <w:tc>
          <w:tcPr>
            <w:tcW w:w="1260" w:type="dxa"/>
            <w:noWrap/>
            <w:vAlign w:val="center"/>
          </w:tcPr>
          <w:p w14:paraId="037F84BA" w14:textId="22269E2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45</w:t>
            </w:r>
          </w:p>
        </w:tc>
      </w:tr>
      <w:tr w:rsidR="00470980" w:rsidRPr="00F549CC" w14:paraId="6583C38C" w14:textId="77777777" w:rsidTr="006148C7">
        <w:trPr>
          <w:trHeight w:val="320"/>
        </w:trPr>
        <w:tc>
          <w:tcPr>
            <w:tcW w:w="1260" w:type="dxa"/>
            <w:noWrap/>
            <w:vAlign w:val="center"/>
          </w:tcPr>
          <w:p w14:paraId="5F449C9D" w14:textId="3E8ED414"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Cauliflower</w:t>
            </w:r>
          </w:p>
        </w:tc>
        <w:tc>
          <w:tcPr>
            <w:tcW w:w="943" w:type="dxa"/>
            <w:noWrap/>
            <w:vAlign w:val="center"/>
          </w:tcPr>
          <w:p w14:paraId="663926CC" w14:textId="086AD1C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31</w:t>
            </w:r>
          </w:p>
        </w:tc>
        <w:tc>
          <w:tcPr>
            <w:tcW w:w="947" w:type="dxa"/>
            <w:noWrap/>
            <w:vAlign w:val="center"/>
          </w:tcPr>
          <w:p w14:paraId="3992524D" w14:textId="04FF1A0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11</w:t>
            </w:r>
          </w:p>
        </w:tc>
        <w:tc>
          <w:tcPr>
            <w:tcW w:w="720" w:type="dxa"/>
            <w:vAlign w:val="center"/>
          </w:tcPr>
          <w:p w14:paraId="3D6C26EB" w14:textId="4995A09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720" w:type="dxa"/>
            <w:noWrap/>
            <w:vAlign w:val="center"/>
          </w:tcPr>
          <w:p w14:paraId="791DE221" w14:textId="0C3E568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31</w:t>
            </w:r>
          </w:p>
        </w:tc>
        <w:tc>
          <w:tcPr>
            <w:tcW w:w="720" w:type="dxa"/>
            <w:noWrap/>
            <w:vAlign w:val="center"/>
          </w:tcPr>
          <w:p w14:paraId="0A790740" w14:textId="4E89A60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20</w:t>
            </w:r>
          </w:p>
        </w:tc>
        <w:tc>
          <w:tcPr>
            <w:tcW w:w="990" w:type="dxa"/>
            <w:noWrap/>
            <w:vAlign w:val="center"/>
          </w:tcPr>
          <w:p w14:paraId="6017CE15" w14:textId="11B3042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94</w:t>
            </w:r>
          </w:p>
        </w:tc>
        <w:tc>
          <w:tcPr>
            <w:tcW w:w="900" w:type="dxa"/>
            <w:vAlign w:val="center"/>
          </w:tcPr>
          <w:p w14:paraId="2A65A96F" w14:textId="1BB2389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0C49DF70" w14:textId="1F30A63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24</w:t>
            </w:r>
          </w:p>
        </w:tc>
        <w:tc>
          <w:tcPr>
            <w:tcW w:w="1260" w:type="dxa"/>
            <w:noWrap/>
            <w:vAlign w:val="center"/>
          </w:tcPr>
          <w:p w14:paraId="090D7D12" w14:textId="28660EE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45</w:t>
            </w:r>
          </w:p>
        </w:tc>
      </w:tr>
      <w:tr w:rsidR="00470980" w:rsidRPr="00F549CC" w14:paraId="70F88DB0" w14:textId="77777777" w:rsidTr="006148C7">
        <w:trPr>
          <w:trHeight w:val="320"/>
        </w:trPr>
        <w:tc>
          <w:tcPr>
            <w:tcW w:w="1260" w:type="dxa"/>
            <w:noWrap/>
            <w:vAlign w:val="center"/>
          </w:tcPr>
          <w:p w14:paraId="0AF1D1EA" w14:textId="6E57B712"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Whole wheat pasta</w:t>
            </w:r>
          </w:p>
        </w:tc>
        <w:tc>
          <w:tcPr>
            <w:tcW w:w="943" w:type="dxa"/>
            <w:noWrap/>
            <w:vAlign w:val="center"/>
          </w:tcPr>
          <w:p w14:paraId="7A0EC1BD" w14:textId="36171BF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15</w:t>
            </w:r>
          </w:p>
        </w:tc>
        <w:tc>
          <w:tcPr>
            <w:tcW w:w="947" w:type="dxa"/>
            <w:noWrap/>
            <w:vAlign w:val="center"/>
          </w:tcPr>
          <w:p w14:paraId="232B77A8" w14:textId="2F99625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22</w:t>
            </w:r>
          </w:p>
        </w:tc>
        <w:tc>
          <w:tcPr>
            <w:tcW w:w="720" w:type="dxa"/>
            <w:vAlign w:val="center"/>
          </w:tcPr>
          <w:p w14:paraId="559A3595" w14:textId="2A5EB4F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w:t>
            </w:r>
          </w:p>
        </w:tc>
        <w:tc>
          <w:tcPr>
            <w:tcW w:w="720" w:type="dxa"/>
            <w:noWrap/>
            <w:vAlign w:val="center"/>
          </w:tcPr>
          <w:p w14:paraId="18066EE5" w14:textId="0E51504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25</w:t>
            </w:r>
          </w:p>
        </w:tc>
        <w:tc>
          <w:tcPr>
            <w:tcW w:w="720" w:type="dxa"/>
            <w:noWrap/>
            <w:vAlign w:val="center"/>
          </w:tcPr>
          <w:p w14:paraId="49D911E5" w14:textId="6080B65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35</w:t>
            </w:r>
          </w:p>
        </w:tc>
        <w:tc>
          <w:tcPr>
            <w:tcW w:w="990" w:type="dxa"/>
            <w:noWrap/>
            <w:vAlign w:val="center"/>
          </w:tcPr>
          <w:p w14:paraId="27905BB4" w14:textId="44E0E51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95</w:t>
            </w:r>
          </w:p>
        </w:tc>
        <w:tc>
          <w:tcPr>
            <w:tcW w:w="900" w:type="dxa"/>
            <w:vAlign w:val="center"/>
          </w:tcPr>
          <w:p w14:paraId="408C0AAD" w14:textId="02C0FB3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w:t>
            </w:r>
          </w:p>
        </w:tc>
        <w:tc>
          <w:tcPr>
            <w:tcW w:w="990" w:type="dxa"/>
            <w:noWrap/>
            <w:vAlign w:val="center"/>
          </w:tcPr>
          <w:p w14:paraId="681AD63D" w14:textId="4071793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20</w:t>
            </w:r>
          </w:p>
        </w:tc>
        <w:tc>
          <w:tcPr>
            <w:tcW w:w="1260" w:type="dxa"/>
            <w:noWrap/>
            <w:vAlign w:val="center"/>
          </w:tcPr>
          <w:p w14:paraId="6899D7CC" w14:textId="5C441AD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45</w:t>
            </w:r>
          </w:p>
        </w:tc>
      </w:tr>
      <w:tr w:rsidR="00470980" w:rsidRPr="00F549CC" w14:paraId="0066DAF8" w14:textId="77777777" w:rsidTr="006148C7">
        <w:trPr>
          <w:trHeight w:val="320"/>
        </w:trPr>
        <w:tc>
          <w:tcPr>
            <w:tcW w:w="1260" w:type="dxa"/>
            <w:noWrap/>
            <w:vAlign w:val="center"/>
          </w:tcPr>
          <w:p w14:paraId="0A609E50" w14:textId="3BC644C8"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Oncom</w:t>
            </w:r>
          </w:p>
        </w:tc>
        <w:tc>
          <w:tcPr>
            <w:tcW w:w="943" w:type="dxa"/>
            <w:noWrap/>
            <w:vAlign w:val="center"/>
          </w:tcPr>
          <w:p w14:paraId="37A622D4" w14:textId="4049799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w:t>
            </w:r>
          </w:p>
        </w:tc>
        <w:tc>
          <w:tcPr>
            <w:tcW w:w="947" w:type="dxa"/>
            <w:noWrap/>
            <w:vAlign w:val="center"/>
          </w:tcPr>
          <w:p w14:paraId="7B92E898" w14:textId="5DCB1E0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46</w:t>
            </w:r>
          </w:p>
        </w:tc>
        <w:tc>
          <w:tcPr>
            <w:tcW w:w="720" w:type="dxa"/>
            <w:vAlign w:val="center"/>
          </w:tcPr>
          <w:p w14:paraId="4DF1F74B" w14:textId="544CC46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w:t>
            </w:r>
          </w:p>
        </w:tc>
        <w:tc>
          <w:tcPr>
            <w:tcW w:w="720" w:type="dxa"/>
            <w:noWrap/>
            <w:vAlign w:val="center"/>
          </w:tcPr>
          <w:p w14:paraId="56A8DD9F" w14:textId="2017313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48</w:t>
            </w:r>
          </w:p>
        </w:tc>
        <w:tc>
          <w:tcPr>
            <w:tcW w:w="720" w:type="dxa"/>
            <w:noWrap/>
            <w:vAlign w:val="center"/>
          </w:tcPr>
          <w:p w14:paraId="274B13C0" w14:textId="34C781E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w:t>
            </w:r>
          </w:p>
        </w:tc>
        <w:tc>
          <w:tcPr>
            <w:tcW w:w="990" w:type="dxa"/>
            <w:noWrap/>
            <w:vAlign w:val="center"/>
          </w:tcPr>
          <w:p w14:paraId="06417150" w14:textId="64CFC8A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78</w:t>
            </w:r>
          </w:p>
        </w:tc>
        <w:tc>
          <w:tcPr>
            <w:tcW w:w="900" w:type="dxa"/>
            <w:vAlign w:val="center"/>
          </w:tcPr>
          <w:p w14:paraId="42BBB547" w14:textId="1252401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-15</w:t>
            </w:r>
          </w:p>
        </w:tc>
        <w:tc>
          <w:tcPr>
            <w:tcW w:w="990" w:type="dxa"/>
            <w:noWrap/>
            <w:vAlign w:val="center"/>
          </w:tcPr>
          <w:p w14:paraId="17A4C542" w14:textId="7871380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35</w:t>
            </w:r>
          </w:p>
        </w:tc>
        <w:tc>
          <w:tcPr>
            <w:tcW w:w="1260" w:type="dxa"/>
            <w:noWrap/>
            <w:vAlign w:val="center"/>
          </w:tcPr>
          <w:p w14:paraId="27303B7C" w14:textId="2A801D1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44</w:t>
            </w:r>
          </w:p>
        </w:tc>
      </w:tr>
      <w:tr w:rsidR="00470980" w:rsidRPr="00F549CC" w14:paraId="61F00B95" w14:textId="77777777" w:rsidTr="006148C7">
        <w:trPr>
          <w:trHeight w:val="320"/>
        </w:trPr>
        <w:tc>
          <w:tcPr>
            <w:tcW w:w="1260" w:type="dxa"/>
            <w:noWrap/>
            <w:vAlign w:val="center"/>
          </w:tcPr>
          <w:p w14:paraId="04EB042F" w14:textId="0FE806FF"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Pineapple</w:t>
            </w:r>
          </w:p>
        </w:tc>
        <w:tc>
          <w:tcPr>
            <w:tcW w:w="943" w:type="dxa"/>
            <w:noWrap/>
            <w:vAlign w:val="center"/>
          </w:tcPr>
          <w:p w14:paraId="470C395F" w14:textId="536114B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26</w:t>
            </w:r>
          </w:p>
        </w:tc>
        <w:tc>
          <w:tcPr>
            <w:tcW w:w="947" w:type="dxa"/>
            <w:noWrap/>
            <w:vAlign w:val="center"/>
          </w:tcPr>
          <w:p w14:paraId="3B01BF80" w14:textId="4E65880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11</w:t>
            </w:r>
          </w:p>
        </w:tc>
        <w:tc>
          <w:tcPr>
            <w:tcW w:w="720" w:type="dxa"/>
            <w:vAlign w:val="center"/>
          </w:tcPr>
          <w:p w14:paraId="4D1C57DB" w14:textId="2820479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w:t>
            </w:r>
          </w:p>
        </w:tc>
        <w:tc>
          <w:tcPr>
            <w:tcW w:w="720" w:type="dxa"/>
            <w:noWrap/>
            <w:vAlign w:val="center"/>
          </w:tcPr>
          <w:p w14:paraId="53635BE7" w14:textId="7966430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25</w:t>
            </w:r>
          </w:p>
        </w:tc>
        <w:tc>
          <w:tcPr>
            <w:tcW w:w="720" w:type="dxa"/>
            <w:noWrap/>
            <w:vAlign w:val="center"/>
          </w:tcPr>
          <w:p w14:paraId="25C9839D" w14:textId="6326CDC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24</w:t>
            </w:r>
          </w:p>
        </w:tc>
        <w:tc>
          <w:tcPr>
            <w:tcW w:w="990" w:type="dxa"/>
            <w:noWrap/>
            <w:vAlign w:val="center"/>
          </w:tcPr>
          <w:p w14:paraId="3ECAD795" w14:textId="62B0D11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94</w:t>
            </w:r>
          </w:p>
        </w:tc>
        <w:tc>
          <w:tcPr>
            <w:tcW w:w="900" w:type="dxa"/>
            <w:vAlign w:val="center"/>
          </w:tcPr>
          <w:p w14:paraId="752953EA" w14:textId="34512C2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06BD35CA" w14:textId="2916B53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20</w:t>
            </w:r>
          </w:p>
        </w:tc>
        <w:tc>
          <w:tcPr>
            <w:tcW w:w="1260" w:type="dxa"/>
            <w:noWrap/>
            <w:vAlign w:val="center"/>
          </w:tcPr>
          <w:p w14:paraId="23C544E0" w14:textId="673401C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44</w:t>
            </w:r>
          </w:p>
        </w:tc>
      </w:tr>
      <w:tr w:rsidR="00470980" w:rsidRPr="00F549CC" w14:paraId="342885FD" w14:textId="77777777" w:rsidTr="006148C7">
        <w:trPr>
          <w:trHeight w:val="320"/>
        </w:trPr>
        <w:tc>
          <w:tcPr>
            <w:tcW w:w="1260" w:type="dxa"/>
            <w:noWrap/>
            <w:vAlign w:val="center"/>
          </w:tcPr>
          <w:p w14:paraId="50F93489" w14:textId="51346171"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Cucumber</w:t>
            </w:r>
          </w:p>
        </w:tc>
        <w:tc>
          <w:tcPr>
            <w:tcW w:w="943" w:type="dxa"/>
            <w:noWrap/>
            <w:vAlign w:val="center"/>
          </w:tcPr>
          <w:p w14:paraId="03614AB5" w14:textId="618B107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14</w:t>
            </w:r>
          </w:p>
        </w:tc>
        <w:tc>
          <w:tcPr>
            <w:tcW w:w="947" w:type="dxa"/>
            <w:noWrap/>
            <w:vAlign w:val="center"/>
          </w:tcPr>
          <w:p w14:paraId="467BBA8D" w14:textId="2F031B4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23</w:t>
            </w:r>
          </w:p>
        </w:tc>
        <w:tc>
          <w:tcPr>
            <w:tcW w:w="720" w:type="dxa"/>
            <w:vAlign w:val="center"/>
          </w:tcPr>
          <w:p w14:paraId="13B080ED" w14:textId="2539D37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w:t>
            </w:r>
          </w:p>
        </w:tc>
        <w:tc>
          <w:tcPr>
            <w:tcW w:w="720" w:type="dxa"/>
            <w:noWrap/>
            <w:vAlign w:val="center"/>
          </w:tcPr>
          <w:p w14:paraId="754EC56F" w14:textId="3672A5A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32</w:t>
            </w:r>
          </w:p>
        </w:tc>
        <w:tc>
          <w:tcPr>
            <w:tcW w:w="720" w:type="dxa"/>
            <w:noWrap/>
            <w:vAlign w:val="center"/>
          </w:tcPr>
          <w:p w14:paraId="69F91C26" w14:textId="674978D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14</w:t>
            </w:r>
          </w:p>
        </w:tc>
        <w:tc>
          <w:tcPr>
            <w:tcW w:w="990" w:type="dxa"/>
            <w:noWrap/>
            <w:vAlign w:val="center"/>
          </w:tcPr>
          <w:p w14:paraId="14B9BC24" w14:textId="08AEB2E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94</w:t>
            </w:r>
          </w:p>
        </w:tc>
        <w:tc>
          <w:tcPr>
            <w:tcW w:w="900" w:type="dxa"/>
            <w:vAlign w:val="center"/>
          </w:tcPr>
          <w:p w14:paraId="0BD2B578" w14:textId="3111B14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34737EDB" w14:textId="0ECB434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22</w:t>
            </w:r>
          </w:p>
        </w:tc>
        <w:tc>
          <w:tcPr>
            <w:tcW w:w="1260" w:type="dxa"/>
            <w:noWrap/>
            <w:vAlign w:val="center"/>
          </w:tcPr>
          <w:p w14:paraId="4DD65FDD" w14:textId="26E06A5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44</w:t>
            </w:r>
          </w:p>
        </w:tc>
      </w:tr>
      <w:tr w:rsidR="00470980" w:rsidRPr="00F549CC" w14:paraId="5D3294DA" w14:textId="77777777" w:rsidTr="006148C7">
        <w:trPr>
          <w:trHeight w:val="320"/>
        </w:trPr>
        <w:tc>
          <w:tcPr>
            <w:tcW w:w="1260" w:type="dxa"/>
            <w:noWrap/>
            <w:vAlign w:val="center"/>
          </w:tcPr>
          <w:p w14:paraId="11A9198C" w14:textId="0A5B340A"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Banana</w:t>
            </w:r>
          </w:p>
        </w:tc>
        <w:tc>
          <w:tcPr>
            <w:tcW w:w="943" w:type="dxa"/>
            <w:noWrap/>
            <w:vAlign w:val="center"/>
          </w:tcPr>
          <w:p w14:paraId="1F45D326" w14:textId="67E8273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19</w:t>
            </w:r>
          </w:p>
        </w:tc>
        <w:tc>
          <w:tcPr>
            <w:tcW w:w="947" w:type="dxa"/>
            <w:noWrap/>
            <w:vAlign w:val="center"/>
          </w:tcPr>
          <w:p w14:paraId="54C210A0" w14:textId="5035630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16</w:t>
            </w:r>
          </w:p>
        </w:tc>
        <w:tc>
          <w:tcPr>
            <w:tcW w:w="720" w:type="dxa"/>
            <w:vAlign w:val="center"/>
          </w:tcPr>
          <w:p w14:paraId="3404B054" w14:textId="2B254C5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w:t>
            </w:r>
          </w:p>
        </w:tc>
        <w:tc>
          <w:tcPr>
            <w:tcW w:w="720" w:type="dxa"/>
            <w:noWrap/>
            <w:vAlign w:val="center"/>
          </w:tcPr>
          <w:p w14:paraId="32ED5711" w14:textId="50EEEAB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26</w:t>
            </w:r>
          </w:p>
        </w:tc>
        <w:tc>
          <w:tcPr>
            <w:tcW w:w="720" w:type="dxa"/>
            <w:noWrap/>
            <w:vAlign w:val="center"/>
          </w:tcPr>
          <w:p w14:paraId="5631E4C4" w14:textId="78B050E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30</w:t>
            </w:r>
          </w:p>
        </w:tc>
        <w:tc>
          <w:tcPr>
            <w:tcW w:w="990" w:type="dxa"/>
            <w:noWrap/>
            <w:vAlign w:val="center"/>
          </w:tcPr>
          <w:p w14:paraId="532218E1" w14:textId="1F1C1AD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94</w:t>
            </w:r>
          </w:p>
        </w:tc>
        <w:tc>
          <w:tcPr>
            <w:tcW w:w="900" w:type="dxa"/>
            <w:vAlign w:val="center"/>
          </w:tcPr>
          <w:p w14:paraId="67E6C133" w14:textId="143D6B4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5E215C3C" w14:textId="1348D10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19</w:t>
            </w:r>
          </w:p>
        </w:tc>
        <w:tc>
          <w:tcPr>
            <w:tcW w:w="1260" w:type="dxa"/>
            <w:noWrap/>
            <w:vAlign w:val="center"/>
          </w:tcPr>
          <w:p w14:paraId="40DC443C" w14:textId="6B88557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44</w:t>
            </w:r>
          </w:p>
        </w:tc>
      </w:tr>
      <w:tr w:rsidR="00470980" w:rsidRPr="00F549CC" w14:paraId="545E0D72" w14:textId="77777777" w:rsidTr="006148C7">
        <w:trPr>
          <w:trHeight w:val="320"/>
        </w:trPr>
        <w:tc>
          <w:tcPr>
            <w:tcW w:w="1260" w:type="dxa"/>
            <w:noWrap/>
            <w:vAlign w:val="center"/>
          </w:tcPr>
          <w:p w14:paraId="78854DFA" w14:textId="684347C3"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Whole wheat noodles</w:t>
            </w:r>
          </w:p>
        </w:tc>
        <w:tc>
          <w:tcPr>
            <w:tcW w:w="943" w:type="dxa"/>
            <w:noWrap/>
            <w:vAlign w:val="center"/>
          </w:tcPr>
          <w:p w14:paraId="2D0D6768" w14:textId="7824F10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15</w:t>
            </w:r>
          </w:p>
        </w:tc>
        <w:tc>
          <w:tcPr>
            <w:tcW w:w="947" w:type="dxa"/>
            <w:noWrap/>
            <w:vAlign w:val="center"/>
          </w:tcPr>
          <w:p w14:paraId="7644D6B9" w14:textId="3C3ECC8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22</w:t>
            </w:r>
          </w:p>
        </w:tc>
        <w:tc>
          <w:tcPr>
            <w:tcW w:w="720" w:type="dxa"/>
            <w:vAlign w:val="center"/>
          </w:tcPr>
          <w:p w14:paraId="49EE5E29" w14:textId="5038C84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720" w:type="dxa"/>
            <w:noWrap/>
            <w:vAlign w:val="center"/>
          </w:tcPr>
          <w:p w14:paraId="589F1466" w14:textId="2D68545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23</w:t>
            </w:r>
          </w:p>
        </w:tc>
        <w:tc>
          <w:tcPr>
            <w:tcW w:w="720" w:type="dxa"/>
            <w:noWrap/>
            <w:vAlign w:val="center"/>
          </w:tcPr>
          <w:p w14:paraId="69DE6E29" w14:textId="167758F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36</w:t>
            </w:r>
          </w:p>
        </w:tc>
        <w:tc>
          <w:tcPr>
            <w:tcW w:w="990" w:type="dxa"/>
            <w:noWrap/>
            <w:vAlign w:val="center"/>
          </w:tcPr>
          <w:p w14:paraId="15350452" w14:textId="7B9C64F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91</w:t>
            </w:r>
          </w:p>
        </w:tc>
        <w:tc>
          <w:tcPr>
            <w:tcW w:w="900" w:type="dxa"/>
            <w:vAlign w:val="center"/>
          </w:tcPr>
          <w:p w14:paraId="6D0D89C2" w14:textId="39D9B61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w:t>
            </w:r>
          </w:p>
        </w:tc>
        <w:tc>
          <w:tcPr>
            <w:tcW w:w="990" w:type="dxa"/>
            <w:noWrap/>
            <w:vAlign w:val="center"/>
          </w:tcPr>
          <w:p w14:paraId="2DF38712" w14:textId="702B54E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20</w:t>
            </w:r>
          </w:p>
        </w:tc>
        <w:tc>
          <w:tcPr>
            <w:tcW w:w="1260" w:type="dxa"/>
            <w:noWrap/>
            <w:vAlign w:val="center"/>
          </w:tcPr>
          <w:p w14:paraId="729189BD" w14:textId="4965769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43</w:t>
            </w:r>
          </w:p>
        </w:tc>
      </w:tr>
      <w:tr w:rsidR="00470980" w:rsidRPr="00F549CC" w14:paraId="253887A1" w14:textId="77777777" w:rsidTr="006148C7">
        <w:trPr>
          <w:trHeight w:val="320"/>
        </w:trPr>
        <w:tc>
          <w:tcPr>
            <w:tcW w:w="1260" w:type="dxa"/>
            <w:noWrap/>
            <w:vAlign w:val="center"/>
          </w:tcPr>
          <w:p w14:paraId="3736BCEF" w14:textId="54825F2F"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Longans</w:t>
            </w:r>
          </w:p>
        </w:tc>
        <w:tc>
          <w:tcPr>
            <w:tcW w:w="943" w:type="dxa"/>
            <w:noWrap/>
            <w:vAlign w:val="center"/>
          </w:tcPr>
          <w:p w14:paraId="49FAF397" w14:textId="288A64F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28</w:t>
            </w:r>
          </w:p>
        </w:tc>
        <w:tc>
          <w:tcPr>
            <w:tcW w:w="947" w:type="dxa"/>
            <w:noWrap/>
            <w:vAlign w:val="center"/>
          </w:tcPr>
          <w:p w14:paraId="3B5FCEBC" w14:textId="605132B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11</w:t>
            </w:r>
          </w:p>
        </w:tc>
        <w:tc>
          <w:tcPr>
            <w:tcW w:w="720" w:type="dxa"/>
            <w:vAlign w:val="center"/>
          </w:tcPr>
          <w:p w14:paraId="658AC4D5" w14:textId="2613C3D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w:t>
            </w:r>
          </w:p>
        </w:tc>
        <w:tc>
          <w:tcPr>
            <w:tcW w:w="720" w:type="dxa"/>
            <w:noWrap/>
            <w:vAlign w:val="center"/>
          </w:tcPr>
          <w:p w14:paraId="17AE049C" w14:textId="5F4DDB4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26</w:t>
            </w:r>
          </w:p>
        </w:tc>
        <w:tc>
          <w:tcPr>
            <w:tcW w:w="720" w:type="dxa"/>
            <w:noWrap/>
            <w:vAlign w:val="center"/>
          </w:tcPr>
          <w:p w14:paraId="09F3975D" w14:textId="48E17B5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17</w:t>
            </w:r>
          </w:p>
        </w:tc>
        <w:tc>
          <w:tcPr>
            <w:tcW w:w="990" w:type="dxa"/>
            <w:noWrap/>
            <w:vAlign w:val="center"/>
          </w:tcPr>
          <w:p w14:paraId="61027139" w14:textId="0D45CF4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91</w:t>
            </w:r>
          </w:p>
        </w:tc>
        <w:tc>
          <w:tcPr>
            <w:tcW w:w="900" w:type="dxa"/>
            <w:vAlign w:val="center"/>
          </w:tcPr>
          <w:p w14:paraId="07ED58EB" w14:textId="4A2E081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35BE7884" w14:textId="62F8919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21</w:t>
            </w:r>
          </w:p>
        </w:tc>
        <w:tc>
          <w:tcPr>
            <w:tcW w:w="1260" w:type="dxa"/>
            <w:noWrap/>
            <w:vAlign w:val="center"/>
          </w:tcPr>
          <w:p w14:paraId="67222D80" w14:textId="74F68C7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42</w:t>
            </w:r>
          </w:p>
        </w:tc>
      </w:tr>
      <w:tr w:rsidR="00470980" w:rsidRPr="00F549CC" w14:paraId="569C7657" w14:textId="77777777" w:rsidTr="006148C7">
        <w:trPr>
          <w:trHeight w:val="320"/>
        </w:trPr>
        <w:tc>
          <w:tcPr>
            <w:tcW w:w="1260" w:type="dxa"/>
            <w:noWrap/>
            <w:vAlign w:val="center"/>
          </w:tcPr>
          <w:p w14:paraId="04B7F632" w14:textId="3177DB65"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Sweet corn</w:t>
            </w:r>
          </w:p>
        </w:tc>
        <w:tc>
          <w:tcPr>
            <w:tcW w:w="943" w:type="dxa"/>
            <w:noWrap/>
            <w:vAlign w:val="center"/>
          </w:tcPr>
          <w:p w14:paraId="206C9350" w14:textId="5E2878A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18</w:t>
            </w:r>
          </w:p>
        </w:tc>
        <w:tc>
          <w:tcPr>
            <w:tcW w:w="947" w:type="dxa"/>
            <w:noWrap/>
            <w:vAlign w:val="center"/>
          </w:tcPr>
          <w:p w14:paraId="005C31EB" w14:textId="51A952A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15</w:t>
            </w:r>
          </w:p>
        </w:tc>
        <w:tc>
          <w:tcPr>
            <w:tcW w:w="720" w:type="dxa"/>
            <w:vAlign w:val="center"/>
          </w:tcPr>
          <w:p w14:paraId="6BF3AD48" w14:textId="67D5463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w:t>
            </w:r>
          </w:p>
        </w:tc>
        <w:tc>
          <w:tcPr>
            <w:tcW w:w="720" w:type="dxa"/>
            <w:noWrap/>
            <w:vAlign w:val="center"/>
          </w:tcPr>
          <w:p w14:paraId="7E4B83BD" w14:textId="7BF3422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17</w:t>
            </w:r>
          </w:p>
        </w:tc>
        <w:tc>
          <w:tcPr>
            <w:tcW w:w="720" w:type="dxa"/>
            <w:noWrap/>
            <w:vAlign w:val="center"/>
          </w:tcPr>
          <w:p w14:paraId="3209D6FB" w14:textId="3E3DEFB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29</w:t>
            </w:r>
          </w:p>
        </w:tc>
        <w:tc>
          <w:tcPr>
            <w:tcW w:w="990" w:type="dxa"/>
            <w:noWrap/>
            <w:vAlign w:val="center"/>
          </w:tcPr>
          <w:p w14:paraId="3E89359F" w14:textId="6923259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94</w:t>
            </w:r>
          </w:p>
        </w:tc>
        <w:tc>
          <w:tcPr>
            <w:tcW w:w="900" w:type="dxa"/>
            <w:vAlign w:val="center"/>
          </w:tcPr>
          <w:p w14:paraId="35B73894" w14:textId="0464E17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30DAF7D1" w14:textId="2D2AC8D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16</w:t>
            </w:r>
          </w:p>
        </w:tc>
        <w:tc>
          <w:tcPr>
            <w:tcW w:w="1260" w:type="dxa"/>
            <w:noWrap/>
            <w:vAlign w:val="center"/>
          </w:tcPr>
          <w:p w14:paraId="5B61EBB5" w14:textId="5D67601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41</w:t>
            </w:r>
          </w:p>
        </w:tc>
      </w:tr>
      <w:tr w:rsidR="00470980" w:rsidRPr="00F549CC" w14:paraId="57BCF09E" w14:textId="77777777" w:rsidTr="006148C7">
        <w:trPr>
          <w:trHeight w:val="320"/>
        </w:trPr>
        <w:tc>
          <w:tcPr>
            <w:tcW w:w="1260" w:type="dxa"/>
            <w:noWrap/>
            <w:vAlign w:val="center"/>
          </w:tcPr>
          <w:p w14:paraId="4B74BD8C" w14:textId="61DEC5A5"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Pear</w:t>
            </w:r>
          </w:p>
        </w:tc>
        <w:tc>
          <w:tcPr>
            <w:tcW w:w="943" w:type="dxa"/>
            <w:noWrap/>
            <w:vAlign w:val="center"/>
          </w:tcPr>
          <w:p w14:paraId="58988ACF" w14:textId="3A5142F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w:t>
            </w:r>
          </w:p>
        </w:tc>
        <w:tc>
          <w:tcPr>
            <w:tcW w:w="947" w:type="dxa"/>
            <w:noWrap/>
            <w:vAlign w:val="center"/>
          </w:tcPr>
          <w:p w14:paraId="6F121711" w14:textId="5A834A3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w:t>
            </w:r>
          </w:p>
        </w:tc>
        <w:tc>
          <w:tcPr>
            <w:tcW w:w="720" w:type="dxa"/>
            <w:vAlign w:val="center"/>
          </w:tcPr>
          <w:p w14:paraId="240BC849" w14:textId="79C2C7D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10</w:t>
            </w:r>
          </w:p>
        </w:tc>
        <w:tc>
          <w:tcPr>
            <w:tcW w:w="720" w:type="dxa"/>
            <w:noWrap/>
            <w:vAlign w:val="center"/>
          </w:tcPr>
          <w:p w14:paraId="730F5B94" w14:textId="4079753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24</w:t>
            </w:r>
          </w:p>
        </w:tc>
        <w:tc>
          <w:tcPr>
            <w:tcW w:w="720" w:type="dxa"/>
            <w:noWrap/>
            <w:vAlign w:val="center"/>
          </w:tcPr>
          <w:p w14:paraId="2F392C69" w14:textId="0E92D7C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47</w:t>
            </w:r>
          </w:p>
        </w:tc>
        <w:tc>
          <w:tcPr>
            <w:tcW w:w="990" w:type="dxa"/>
            <w:noWrap/>
            <w:vAlign w:val="center"/>
          </w:tcPr>
          <w:p w14:paraId="3F698459" w14:textId="326C155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97</w:t>
            </w:r>
          </w:p>
        </w:tc>
        <w:tc>
          <w:tcPr>
            <w:tcW w:w="900" w:type="dxa"/>
            <w:vAlign w:val="center"/>
          </w:tcPr>
          <w:p w14:paraId="63C42759" w14:textId="777B07E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4E0719C1" w14:textId="45EB720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w:t>
            </w:r>
          </w:p>
        </w:tc>
        <w:tc>
          <w:tcPr>
            <w:tcW w:w="1260" w:type="dxa"/>
            <w:noWrap/>
            <w:vAlign w:val="center"/>
          </w:tcPr>
          <w:p w14:paraId="0173EFA3" w14:textId="74823E1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41</w:t>
            </w:r>
          </w:p>
        </w:tc>
      </w:tr>
      <w:tr w:rsidR="00470980" w:rsidRPr="00F549CC" w14:paraId="34D85740" w14:textId="77777777" w:rsidTr="006148C7">
        <w:trPr>
          <w:trHeight w:val="320"/>
        </w:trPr>
        <w:tc>
          <w:tcPr>
            <w:tcW w:w="1260" w:type="dxa"/>
            <w:noWrap/>
            <w:vAlign w:val="center"/>
          </w:tcPr>
          <w:p w14:paraId="0667C448" w14:textId="439530D4"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lastRenderedPageBreak/>
              <w:t>Eggplant</w:t>
            </w:r>
          </w:p>
        </w:tc>
        <w:tc>
          <w:tcPr>
            <w:tcW w:w="943" w:type="dxa"/>
            <w:noWrap/>
            <w:vAlign w:val="center"/>
          </w:tcPr>
          <w:p w14:paraId="55E1A5CB" w14:textId="4D7F167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18</w:t>
            </w:r>
          </w:p>
        </w:tc>
        <w:tc>
          <w:tcPr>
            <w:tcW w:w="947" w:type="dxa"/>
            <w:noWrap/>
            <w:vAlign w:val="center"/>
          </w:tcPr>
          <w:p w14:paraId="4CA239F5" w14:textId="1F8EEC0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w:t>
            </w:r>
          </w:p>
        </w:tc>
        <w:tc>
          <w:tcPr>
            <w:tcW w:w="720" w:type="dxa"/>
            <w:vAlign w:val="center"/>
          </w:tcPr>
          <w:p w14:paraId="06964459" w14:textId="490216A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w:t>
            </w:r>
          </w:p>
        </w:tc>
        <w:tc>
          <w:tcPr>
            <w:tcW w:w="720" w:type="dxa"/>
            <w:noWrap/>
            <w:vAlign w:val="center"/>
          </w:tcPr>
          <w:p w14:paraId="4DC8C3BA" w14:textId="702C928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29</w:t>
            </w:r>
          </w:p>
        </w:tc>
        <w:tc>
          <w:tcPr>
            <w:tcW w:w="720" w:type="dxa"/>
            <w:noWrap/>
            <w:vAlign w:val="center"/>
          </w:tcPr>
          <w:p w14:paraId="2A0995A8" w14:textId="78FF5C2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22</w:t>
            </w:r>
          </w:p>
        </w:tc>
        <w:tc>
          <w:tcPr>
            <w:tcW w:w="990" w:type="dxa"/>
            <w:noWrap/>
            <w:vAlign w:val="center"/>
          </w:tcPr>
          <w:p w14:paraId="4CBF14C3" w14:textId="777E324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93</w:t>
            </w:r>
          </w:p>
        </w:tc>
        <w:tc>
          <w:tcPr>
            <w:tcW w:w="900" w:type="dxa"/>
            <w:vAlign w:val="center"/>
          </w:tcPr>
          <w:p w14:paraId="1941AD98" w14:textId="3F5BDB5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598C68A9" w14:textId="41FA2A5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16</w:t>
            </w:r>
          </w:p>
        </w:tc>
        <w:tc>
          <w:tcPr>
            <w:tcW w:w="1260" w:type="dxa"/>
            <w:noWrap/>
            <w:vAlign w:val="center"/>
          </w:tcPr>
          <w:p w14:paraId="7A9803D7" w14:textId="35380D8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41</w:t>
            </w:r>
          </w:p>
        </w:tc>
      </w:tr>
      <w:tr w:rsidR="00470980" w:rsidRPr="00F549CC" w14:paraId="39F0E042" w14:textId="77777777" w:rsidTr="006148C7">
        <w:trPr>
          <w:trHeight w:val="320"/>
        </w:trPr>
        <w:tc>
          <w:tcPr>
            <w:tcW w:w="1260" w:type="dxa"/>
            <w:noWrap/>
            <w:vAlign w:val="center"/>
          </w:tcPr>
          <w:p w14:paraId="6A980DBC" w14:textId="426AA790"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Dragon fruit</w:t>
            </w:r>
          </w:p>
        </w:tc>
        <w:tc>
          <w:tcPr>
            <w:tcW w:w="943" w:type="dxa"/>
            <w:noWrap/>
            <w:vAlign w:val="center"/>
          </w:tcPr>
          <w:p w14:paraId="6653DD2E" w14:textId="10AB24C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w:t>
            </w:r>
          </w:p>
        </w:tc>
        <w:tc>
          <w:tcPr>
            <w:tcW w:w="947" w:type="dxa"/>
            <w:noWrap/>
            <w:vAlign w:val="center"/>
          </w:tcPr>
          <w:p w14:paraId="3A591F87" w14:textId="10AE4AC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w:t>
            </w:r>
          </w:p>
        </w:tc>
        <w:tc>
          <w:tcPr>
            <w:tcW w:w="720" w:type="dxa"/>
            <w:vAlign w:val="center"/>
          </w:tcPr>
          <w:p w14:paraId="081B5484" w14:textId="0978348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w:t>
            </w:r>
          </w:p>
        </w:tc>
        <w:tc>
          <w:tcPr>
            <w:tcW w:w="720" w:type="dxa"/>
            <w:noWrap/>
            <w:vAlign w:val="center"/>
          </w:tcPr>
          <w:p w14:paraId="1B85F098" w14:textId="6384C0C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26</w:t>
            </w:r>
          </w:p>
        </w:tc>
        <w:tc>
          <w:tcPr>
            <w:tcW w:w="720" w:type="dxa"/>
            <w:noWrap/>
            <w:vAlign w:val="center"/>
          </w:tcPr>
          <w:p w14:paraId="7C6BCA3C" w14:textId="76E4EEB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47</w:t>
            </w:r>
          </w:p>
        </w:tc>
        <w:tc>
          <w:tcPr>
            <w:tcW w:w="990" w:type="dxa"/>
            <w:noWrap/>
            <w:vAlign w:val="center"/>
          </w:tcPr>
          <w:p w14:paraId="4E3A69E4" w14:textId="47A7649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97</w:t>
            </w:r>
          </w:p>
        </w:tc>
        <w:tc>
          <w:tcPr>
            <w:tcW w:w="900" w:type="dxa"/>
            <w:vAlign w:val="center"/>
          </w:tcPr>
          <w:p w14:paraId="20B296DB" w14:textId="7BCB851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31FD20AD" w14:textId="49BCD98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w:t>
            </w:r>
          </w:p>
        </w:tc>
        <w:tc>
          <w:tcPr>
            <w:tcW w:w="1260" w:type="dxa"/>
            <w:noWrap/>
            <w:vAlign w:val="center"/>
          </w:tcPr>
          <w:p w14:paraId="56DB6650" w14:textId="6CF30A8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40</w:t>
            </w:r>
          </w:p>
        </w:tc>
      </w:tr>
      <w:tr w:rsidR="00470980" w:rsidRPr="00F549CC" w14:paraId="5570E433" w14:textId="77777777" w:rsidTr="006148C7">
        <w:trPr>
          <w:trHeight w:val="320"/>
        </w:trPr>
        <w:tc>
          <w:tcPr>
            <w:tcW w:w="1260" w:type="dxa"/>
            <w:noWrap/>
            <w:vAlign w:val="center"/>
          </w:tcPr>
          <w:p w14:paraId="68D80B9B" w14:textId="42E6E29C"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Green banana</w:t>
            </w:r>
          </w:p>
        </w:tc>
        <w:tc>
          <w:tcPr>
            <w:tcW w:w="943" w:type="dxa"/>
            <w:noWrap/>
            <w:vAlign w:val="center"/>
          </w:tcPr>
          <w:p w14:paraId="43422C06" w14:textId="2E905C2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17</w:t>
            </w:r>
          </w:p>
        </w:tc>
        <w:tc>
          <w:tcPr>
            <w:tcW w:w="947" w:type="dxa"/>
            <w:noWrap/>
            <w:vAlign w:val="center"/>
          </w:tcPr>
          <w:p w14:paraId="5C9FBF8A" w14:textId="732C2A1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18</w:t>
            </w:r>
          </w:p>
        </w:tc>
        <w:tc>
          <w:tcPr>
            <w:tcW w:w="720" w:type="dxa"/>
            <w:vAlign w:val="center"/>
          </w:tcPr>
          <w:p w14:paraId="7783F768" w14:textId="0056CF9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w:t>
            </w:r>
          </w:p>
        </w:tc>
        <w:tc>
          <w:tcPr>
            <w:tcW w:w="720" w:type="dxa"/>
            <w:noWrap/>
            <w:vAlign w:val="center"/>
          </w:tcPr>
          <w:p w14:paraId="1CB74EAA" w14:textId="1D662EE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26</w:t>
            </w:r>
          </w:p>
        </w:tc>
        <w:tc>
          <w:tcPr>
            <w:tcW w:w="720" w:type="dxa"/>
            <w:noWrap/>
            <w:vAlign w:val="center"/>
          </w:tcPr>
          <w:p w14:paraId="3F51893A" w14:textId="7422B22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16</w:t>
            </w:r>
          </w:p>
        </w:tc>
        <w:tc>
          <w:tcPr>
            <w:tcW w:w="990" w:type="dxa"/>
            <w:noWrap/>
            <w:vAlign w:val="center"/>
          </w:tcPr>
          <w:p w14:paraId="360A5C20" w14:textId="7219870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87</w:t>
            </w:r>
          </w:p>
        </w:tc>
        <w:tc>
          <w:tcPr>
            <w:tcW w:w="900" w:type="dxa"/>
            <w:vAlign w:val="center"/>
          </w:tcPr>
          <w:p w14:paraId="2B0C04CA" w14:textId="585D803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990" w:type="dxa"/>
            <w:noWrap/>
            <w:vAlign w:val="center"/>
          </w:tcPr>
          <w:p w14:paraId="467CFA3C" w14:textId="160D91A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20</w:t>
            </w:r>
          </w:p>
        </w:tc>
        <w:tc>
          <w:tcPr>
            <w:tcW w:w="1260" w:type="dxa"/>
            <w:noWrap/>
            <w:vAlign w:val="center"/>
          </w:tcPr>
          <w:p w14:paraId="4398BBFE" w14:textId="2198B5C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40</w:t>
            </w:r>
          </w:p>
        </w:tc>
      </w:tr>
      <w:tr w:rsidR="00470980" w:rsidRPr="00F549CC" w14:paraId="53EA53A4" w14:textId="77777777" w:rsidTr="006148C7">
        <w:trPr>
          <w:trHeight w:val="320"/>
        </w:trPr>
        <w:tc>
          <w:tcPr>
            <w:tcW w:w="1260" w:type="dxa"/>
            <w:noWrap/>
            <w:vAlign w:val="center"/>
          </w:tcPr>
          <w:p w14:paraId="66EF6C11" w14:textId="7A82DA39"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Unsalted brown rice cakes</w:t>
            </w:r>
          </w:p>
        </w:tc>
        <w:tc>
          <w:tcPr>
            <w:tcW w:w="943" w:type="dxa"/>
            <w:noWrap/>
            <w:vAlign w:val="center"/>
          </w:tcPr>
          <w:p w14:paraId="0A11A577" w14:textId="08FAC6B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18</w:t>
            </w:r>
          </w:p>
        </w:tc>
        <w:tc>
          <w:tcPr>
            <w:tcW w:w="947" w:type="dxa"/>
            <w:noWrap/>
            <w:vAlign w:val="center"/>
          </w:tcPr>
          <w:p w14:paraId="62057F2D" w14:textId="17A6976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34</w:t>
            </w:r>
          </w:p>
        </w:tc>
        <w:tc>
          <w:tcPr>
            <w:tcW w:w="720" w:type="dxa"/>
            <w:vAlign w:val="center"/>
          </w:tcPr>
          <w:p w14:paraId="07ECBCFD" w14:textId="6D0A147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720" w:type="dxa"/>
            <w:noWrap/>
            <w:vAlign w:val="center"/>
          </w:tcPr>
          <w:p w14:paraId="201AEF02" w14:textId="36C0FEB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25</w:t>
            </w:r>
          </w:p>
        </w:tc>
        <w:tc>
          <w:tcPr>
            <w:tcW w:w="720" w:type="dxa"/>
            <w:noWrap/>
            <w:vAlign w:val="center"/>
          </w:tcPr>
          <w:p w14:paraId="444FE2F0" w14:textId="24F87D5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28</w:t>
            </w:r>
          </w:p>
        </w:tc>
        <w:tc>
          <w:tcPr>
            <w:tcW w:w="990" w:type="dxa"/>
            <w:noWrap/>
            <w:vAlign w:val="center"/>
          </w:tcPr>
          <w:p w14:paraId="47C1E867" w14:textId="6BED115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87</w:t>
            </w:r>
          </w:p>
        </w:tc>
        <w:tc>
          <w:tcPr>
            <w:tcW w:w="900" w:type="dxa"/>
            <w:vAlign w:val="center"/>
          </w:tcPr>
          <w:p w14:paraId="04026E52" w14:textId="00BE892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-55</w:t>
            </w:r>
          </w:p>
        </w:tc>
        <w:tc>
          <w:tcPr>
            <w:tcW w:w="990" w:type="dxa"/>
            <w:noWrap/>
            <w:vAlign w:val="center"/>
          </w:tcPr>
          <w:p w14:paraId="74FDA1BD" w14:textId="289F60B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28</w:t>
            </w:r>
          </w:p>
        </w:tc>
        <w:tc>
          <w:tcPr>
            <w:tcW w:w="1260" w:type="dxa"/>
            <w:noWrap/>
            <w:vAlign w:val="center"/>
          </w:tcPr>
          <w:p w14:paraId="4132C632" w14:textId="054E79B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39</w:t>
            </w:r>
          </w:p>
        </w:tc>
      </w:tr>
      <w:tr w:rsidR="00470980" w:rsidRPr="00F549CC" w14:paraId="4E463B5D" w14:textId="77777777" w:rsidTr="006148C7">
        <w:trPr>
          <w:trHeight w:val="320"/>
        </w:trPr>
        <w:tc>
          <w:tcPr>
            <w:tcW w:w="1260" w:type="dxa"/>
            <w:noWrap/>
            <w:vAlign w:val="center"/>
          </w:tcPr>
          <w:p w14:paraId="5F978E7F" w14:textId="2EA04506"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Apple</w:t>
            </w:r>
          </w:p>
        </w:tc>
        <w:tc>
          <w:tcPr>
            <w:tcW w:w="943" w:type="dxa"/>
            <w:noWrap/>
            <w:vAlign w:val="center"/>
          </w:tcPr>
          <w:p w14:paraId="544288C2" w14:textId="5584C9B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w:t>
            </w:r>
          </w:p>
        </w:tc>
        <w:tc>
          <w:tcPr>
            <w:tcW w:w="947" w:type="dxa"/>
            <w:noWrap/>
            <w:vAlign w:val="center"/>
          </w:tcPr>
          <w:p w14:paraId="17856687" w14:textId="623B3B1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w:t>
            </w:r>
          </w:p>
        </w:tc>
        <w:tc>
          <w:tcPr>
            <w:tcW w:w="720" w:type="dxa"/>
            <w:vAlign w:val="center"/>
          </w:tcPr>
          <w:p w14:paraId="73BAF9AB" w14:textId="1557068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11</w:t>
            </w:r>
          </w:p>
        </w:tc>
        <w:tc>
          <w:tcPr>
            <w:tcW w:w="720" w:type="dxa"/>
            <w:noWrap/>
            <w:vAlign w:val="center"/>
          </w:tcPr>
          <w:p w14:paraId="670910E7" w14:textId="46A11CD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24</w:t>
            </w:r>
          </w:p>
        </w:tc>
        <w:tc>
          <w:tcPr>
            <w:tcW w:w="720" w:type="dxa"/>
            <w:noWrap/>
            <w:vAlign w:val="center"/>
          </w:tcPr>
          <w:p w14:paraId="61DA4A74" w14:textId="2DDD254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39</w:t>
            </w:r>
          </w:p>
        </w:tc>
        <w:tc>
          <w:tcPr>
            <w:tcW w:w="990" w:type="dxa"/>
            <w:noWrap/>
            <w:vAlign w:val="center"/>
          </w:tcPr>
          <w:p w14:paraId="0E672A7F" w14:textId="17EACF5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97</w:t>
            </w:r>
          </w:p>
        </w:tc>
        <w:tc>
          <w:tcPr>
            <w:tcW w:w="900" w:type="dxa"/>
            <w:vAlign w:val="center"/>
          </w:tcPr>
          <w:p w14:paraId="29D7A066" w14:textId="2621BE5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26D60243" w14:textId="7790A34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w:t>
            </w:r>
          </w:p>
        </w:tc>
        <w:tc>
          <w:tcPr>
            <w:tcW w:w="1260" w:type="dxa"/>
            <w:noWrap/>
            <w:vAlign w:val="center"/>
          </w:tcPr>
          <w:p w14:paraId="7B2179AF" w14:textId="02D44B5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39</w:t>
            </w:r>
          </w:p>
        </w:tc>
      </w:tr>
      <w:tr w:rsidR="00470980" w:rsidRPr="00F549CC" w14:paraId="7A8994F6" w14:textId="77777777" w:rsidTr="006148C7">
        <w:trPr>
          <w:trHeight w:val="320"/>
        </w:trPr>
        <w:tc>
          <w:tcPr>
            <w:tcW w:w="1260" w:type="dxa"/>
            <w:noWrap/>
            <w:vAlign w:val="center"/>
          </w:tcPr>
          <w:p w14:paraId="7760444F" w14:textId="255BD23A"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Snake fruit</w:t>
            </w:r>
          </w:p>
        </w:tc>
        <w:tc>
          <w:tcPr>
            <w:tcW w:w="943" w:type="dxa"/>
            <w:noWrap/>
            <w:vAlign w:val="center"/>
          </w:tcPr>
          <w:p w14:paraId="43298F9F" w14:textId="4E9CD1B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26</w:t>
            </w:r>
          </w:p>
        </w:tc>
        <w:tc>
          <w:tcPr>
            <w:tcW w:w="947" w:type="dxa"/>
            <w:noWrap/>
            <w:vAlign w:val="center"/>
          </w:tcPr>
          <w:p w14:paraId="2C77A972" w14:textId="71253CE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30</w:t>
            </w:r>
          </w:p>
        </w:tc>
        <w:tc>
          <w:tcPr>
            <w:tcW w:w="720" w:type="dxa"/>
            <w:vAlign w:val="center"/>
          </w:tcPr>
          <w:p w14:paraId="05AC365C" w14:textId="3C9D6BD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w:t>
            </w:r>
          </w:p>
        </w:tc>
        <w:tc>
          <w:tcPr>
            <w:tcW w:w="720" w:type="dxa"/>
            <w:noWrap/>
            <w:vAlign w:val="center"/>
          </w:tcPr>
          <w:p w14:paraId="3AAE26E3" w14:textId="7E3DEFF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24</w:t>
            </w:r>
          </w:p>
        </w:tc>
        <w:tc>
          <w:tcPr>
            <w:tcW w:w="720" w:type="dxa"/>
            <w:noWrap/>
            <w:vAlign w:val="center"/>
          </w:tcPr>
          <w:p w14:paraId="4616A689" w14:textId="292AC12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w:t>
            </w:r>
          </w:p>
        </w:tc>
        <w:tc>
          <w:tcPr>
            <w:tcW w:w="990" w:type="dxa"/>
            <w:noWrap/>
            <w:vAlign w:val="center"/>
          </w:tcPr>
          <w:p w14:paraId="6DFFA7F7" w14:textId="68419FE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64</w:t>
            </w:r>
          </w:p>
        </w:tc>
        <w:tc>
          <w:tcPr>
            <w:tcW w:w="900" w:type="dxa"/>
            <w:vAlign w:val="center"/>
          </w:tcPr>
          <w:p w14:paraId="07C157D7" w14:textId="38A068D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03DB928A" w14:textId="7CE2C69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30</w:t>
            </w:r>
          </w:p>
        </w:tc>
        <w:tc>
          <w:tcPr>
            <w:tcW w:w="1260" w:type="dxa"/>
            <w:noWrap/>
            <w:vAlign w:val="center"/>
          </w:tcPr>
          <w:p w14:paraId="19916983" w14:textId="22EA4BF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37</w:t>
            </w:r>
          </w:p>
        </w:tc>
      </w:tr>
      <w:tr w:rsidR="00470980" w:rsidRPr="00F549CC" w14:paraId="505B35D0" w14:textId="77777777" w:rsidTr="006148C7">
        <w:trPr>
          <w:trHeight w:val="320"/>
        </w:trPr>
        <w:tc>
          <w:tcPr>
            <w:tcW w:w="1260" w:type="dxa"/>
            <w:noWrap/>
            <w:vAlign w:val="center"/>
          </w:tcPr>
          <w:p w14:paraId="0B24A16C" w14:textId="11709E18"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Brown rice</w:t>
            </w:r>
          </w:p>
        </w:tc>
        <w:tc>
          <w:tcPr>
            <w:tcW w:w="943" w:type="dxa"/>
            <w:noWrap/>
            <w:vAlign w:val="center"/>
          </w:tcPr>
          <w:p w14:paraId="1751700C" w14:textId="286DB90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13</w:t>
            </w:r>
          </w:p>
        </w:tc>
        <w:tc>
          <w:tcPr>
            <w:tcW w:w="947" w:type="dxa"/>
            <w:noWrap/>
            <w:vAlign w:val="center"/>
          </w:tcPr>
          <w:p w14:paraId="2A443E99" w14:textId="145F8E1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14</w:t>
            </w:r>
          </w:p>
        </w:tc>
        <w:tc>
          <w:tcPr>
            <w:tcW w:w="720" w:type="dxa"/>
            <w:vAlign w:val="center"/>
          </w:tcPr>
          <w:p w14:paraId="17223CF1" w14:textId="30DA042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720" w:type="dxa"/>
            <w:noWrap/>
            <w:vAlign w:val="center"/>
          </w:tcPr>
          <w:p w14:paraId="1788965C" w14:textId="36DF490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21</w:t>
            </w:r>
          </w:p>
        </w:tc>
        <w:tc>
          <w:tcPr>
            <w:tcW w:w="720" w:type="dxa"/>
            <w:noWrap/>
            <w:vAlign w:val="center"/>
          </w:tcPr>
          <w:p w14:paraId="6DFD12B9" w14:textId="2F01761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18</w:t>
            </w:r>
          </w:p>
        </w:tc>
        <w:tc>
          <w:tcPr>
            <w:tcW w:w="990" w:type="dxa"/>
            <w:noWrap/>
            <w:vAlign w:val="center"/>
          </w:tcPr>
          <w:p w14:paraId="20C4321A" w14:textId="661C6DC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90</w:t>
            </w:r>
          </w:p>
        </w:tc>
        <w:tc>
          <w:tcPr>
            <w:tcW w:w="900" w:type="dxa"/>
            <w:vAlign w:val="center"/>
          </w:tcPr>
          <w:p w14:paraId="6236959C" w14:textId="6BAC5D2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21C2E2B1" w14:textId="4E7FB18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13</w:t>
            </w:r>
          </w:p>
        </w:tc>
        <w:tc>
          <w:tcPr>
            <w:tcW w:w="1260" w:type="dxa"/>
            <w:noWrap/>
            <w:vAlign w:val="center"/>
          </w:tcPr>
          <w:p w14:paraId="4C7F7292" w14:textId="13C9B58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37</w:t>
            </w:r>
          </w:p>
        </w:tc>
      </w:tr>
      <w:tr w:rsidR="00470980" w:rsidRPr="00F549CC" w14:paraId="7659D47D" w14:textId="77777777" w:rsidTr="006148C7">
        <w:trPr>
          <w:trHeight w:val="320"/>
        </w:trPr>
        <w:tc>
          <w:tcPr>
            <w:tcW w:w="1260" w:type="dxa"/>
            <w:noWrap/>
            <w:vAlign w:val="center"/>
          </w:tcPr>
          <w:p w14:paraId="562C402E" w14:textId="3C469639"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Refined wheat pasta</w:t>
            </w:r>
          </w:p>
        </w:tc>
        <w:tc>
          <w:tcPr>
            <w:tcW w:w="943" w:type="dxa"/>
            <w:noWrap/>
            <w:vAlign w:val="center"/>
          </w:tcPr>
          <w:p w14:paraId="7AA719D2" w14:textId="7AFDE4C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w:t>
            </w:r>
          </w:p>
        </w:tc>
        <w:tc>
          <w:tcPr>
            <w:tcW w:w="947" w:type="dxa"/>
            <w:noWrap/>
            <w:vAlign w:val="center"/>
          </w:tcPr>
          <w:p w14:paraId="779689D1" w14:textId="793F22A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w:t>
            </w:r>
          </w:p>
        </w:tc>
        <w:tc>
          <w:tcPr>
            <w:tcW w:w="720" w:type="dxa"/>
            <w:vAlign w:val="center"/>
          </w:tcPr>
          <w:p w14:paraId="653212C8" w14:textId="0621318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720" w:type="dxa"/>
            <w:noWrap/>
            <w:vAlign w:val="center"/>
          </w:tcPr>
          <w:p w14:paraId="4D07663C" w14:textId="42756E7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24</w:t>
            </w:r>
          </w:p>
        </w:tc>
        <w:tc>
          <w:tcPr>
            <w:tcW w:w="720" w:type="dxa"/>
            <w:noWrap/>
            <w:vAlign w:val="center"/>
          </w:tcPr>
          <w:p w14:paraId="2FE9F4FF" w14:textId="2E1CB3F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16</w:t>
            </w:r>
          </w:p>
        </w:tc>
        <w:tc>
          <w:tcPr>
            <w:tcW w:w="990" w:type="dxa"/>
            <w:noWrap/>
            <w:vAlign w:val="center"/>
          </w:tcPr>
          <w:p w14:paraId="3D68B560" w14:textId="1E2FC1B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89</w:t>
            </w:r>
          </w:p>
        </w:tc>
        <w:tc>
          <w:tcPr>
            <w:tcW w:w="900" w:type="dxa"/>
            <w:vAlign w:val="center"/>
          </w:tcPr>
          <w:p w14:paraId="6E95E1AB" w14:textId="2926BCC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w:t>
            </w:r>
          </w:p>
        </w:tc>
        <w:tc>
          <w:tcPr>
            <w:tcW w:w="990" w:type="dxa"/>
            <w:noWrap/>
            <w:vAlign w:val="center"/>
          </w:tcPr>
          <w:p w14:paraId="7502FC70" w14:textId="4E2411F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w:t>
            </w:r>
          </w:p>
        </w:tc>
        <w:tc>
          <w:tcPr>
            <w:tcW w:w="1260" w:type="dxa"/>
            <w:noWrap/>
            <w:vAlign w:val="center"/>
          </w:tcPr>
          <w:p w14:paraId="0E9B495B" w14:textId="58D18F5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30</w:t>
            </w:r>
          </w:p>
        </w:tc>
      </w:tr>
      <w:tr w:rsidR="00470980" w:rsidRPr="00F549CC" w14:paraId="1C85AA9E" w14:textId="77777777" w:rsidTr="006148C7">
        <w:trPr>
          <w:trHeight w:val="320"/>
        </w:trPr>
        <w:tc>
          <w:tcPr>
            <w:tcW w:w="1260" w:type="dxa"/>
            <w:noWrap/>
            <w:vAlign w:val="center"/>
          </w:tcPr>
          <w:p w14:paraId="6F39B498" w14:textId="7A73C973"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Watermelon</w:t>
            </w:r>
          </w:p>
        </w:tc>
        <w:tc>
          <w:tcPr>
            <w:tcW w:w="943" w:type="dxa"/>
            <w:noWrap/>
            <w:vAlign w:val="center"/>
          </w:tcPr>
          <w:p w14:paraId="13D22EB9" w14:textId="4704355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w:t>
            </w:r>
          </w:p>
        </w:tc>
        <w:tc>
          <w:tcPr>
            <w:tcW w:w="947" w:type="dxa"/>
            <w:noWrap/>
            <w:vAlign w:val="center"/>
          </w:tcPr>
          <w:p w14:paraId="01571A4C" w14:textId="078022E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w:t>
            </w:r>
          </w:p>
        </w:tc>
        <w:tc>
          <w:tcPr>
            <w:tcW w:w="720" w:type="dxa"/>
            <w:vAlign w:val="center"/>
          </w:tcPr>
          <w:p w14:paraId="059873BC" w14:textId="59C7C3E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w:t>
            </w:r>
          </w:p>
        </w:tc>
        <w:tc>
          <w:tcPr>
            <w:tcW w:w="720" w:type="dxa"/>
            <w:noWrap/>
            <w:vAlign w:val="center"/>
          </w:tcPr>
          <w:p w14:paraId="449CA786" w14:textId="5FB3091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24</w:t>
            </w:r>
          </w:p>
        </w:tc>
        <w:tc>
          <w:tcPr>
            <w:tcW w:w="720" w:type="dxa"/>
            <w:noWrap/>
            <w:vAlign w:val="center"/>
          </w:tcPr>
          <w:p w14:paraId="48D395CF" w14:textId="726FF26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w:t>
            </w:r>
          </w:p>
        </w:tc>
        <w:tc>
          <w:tcPr>
            <w:tcW w:w="990" w:type="dxa"/>
            <w:noWrap/>
            <w:vAlign w:val="center"/>
          </w:tcPr>
          <w:p w14:paraId="78270B6D" w14:textId="4BB3EEE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87</w:t>
            </w:r>
          </w:p>
        </w:tc>
        <w:tc>
          <w:tcPr>
            <w:tcW w:w="900" w:type="dxa"/>
            <w:vAlign w:val="center"/>
          </w:tcPr>
          <w:p w14:paraId="0D335056" w14:textId="50DFF8E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0CEE3DA7" w14:textId="3B5C23C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w:t>
            </w:r>
          </w:p>
        </w:tc>
        <w:tc>
          <w:tcPr>
            <w:tcW w:w="1260" w:type="dxa"/>
            <w:noWrap/>
            <w:vAlign w:val="center"/>
          </w:tcPr>
          <w:p w14:paraId="2ABFD61C" w14:textId="58D5B18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30</w:t>
            </w:r>
          </w:p>
        </w:tc>
      </w:tr>
      <w:tr w:rsidR="00470980" w:rsidRPr="00F549CC" w14:paraId="71A6BD21" w14:textId="77777777" w:rsidTr="006148C7">
        <w:trPr>
          <w:trHeight w:val="320"/>
        </w:trPr>
        <w:tc>
          <w:tcPr>
            <w:tcW w:w="1260" w:type="dxa"/>
            <w:noWrap/>
            <w:vAlign w:val="center"/>
          </w:tcPr>
          <w:p w14:paraId="4874E2FA" w14:textId="190799C0"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Cassava</w:t>
            </w:r>
          </w:p>
        </w:tc>
        <w:tc>
          <w:tcPr>
            <w:tcW w:w="943" w:type="dxa"/>
            <w:noWrap/>
            <w:vAlign w:val="center"/>
          </w:tcPr>
          <w:p w14:paraId="47347646" w14:textId="53A2263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14</w:t>
            </w:r>
          </w:p>
        </w:tc>
        <w:tc>
          <w:tcPr>
            <w:tcW w:w="947" w:type="dxa"/>
            <w:noWrap/>
            <w:vAlign w:val="center"/>
          </w:tcPr>
          <w:p w14:paraId="42AA3305" w14:textId="0EA06F5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10</w:t>
            </w:r>
          </w:p>
        </w:tc>
        <w:tc>
          <w:tcPr>
            <w:tcW w:w="720" w:type="dxa"/>
            <w:vAlign w:val="center"/>
          </w:tcPr>
          <w:p w14:paraId="16742D9F" w14:textId="3BDCE76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w:t>
            </w:r>
          </w:p>
        </w:tc>
        <w:tc>
          <w:tcPr>
            <w:tcW w:w="720" w:type="dxa"/>
            <w:noWrap/>
            <w:vAlign w:val="center"/>
          </w:tcPr>
          <w:p w14:paraId="0206E855" w14:textId="24A7139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720" w:type="dxa"/>
            <w:noWrap/>
            <w:vAlign w:val="center"/>
          </w:tcPr>
          <w:p w14:paraId="5E0BC7DD" w14:textId="38A8782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16</w:t>
            </w:r>
          </w:p>
        </w:tc>
        <w:tc>
          <w:tcPr>
            <w:tcW w:w="990" w:type="dxa"/>
            <w:noWrap/>
            <w:vAlign w:val="center"/>
          </w:tcPr>
          <w:p w14:paraId="04FF51F7" w14:textId="32155AC3"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85</w:t>
            </w:r>
          </w:p>
        </w:tc>
        <w:tc>
          <w:tcPr>
            <w:tcW w:w="900" w:type="dxa"/>
            <w:vAlign w:val="center"/>
          </w:tcPr>
          <w:p w14:paraId="51F831B1" w14:textId="7847BD5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-13</w:t>
            </w:r>
          </w:p>
        </w:tc>
        <w:tc>
          <w:tcPr>
            <w:tcW w:w="990" w:type="dxa"/>
            <w:noWrap/>
            <w:vAlign w:val="center"/>
          </w:tcPr>
          <w:p w14:paraId="39973FA6" w14:textId="7337658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7</w:t>
            </w:r>
          </w:p>
        </w:tc>
        <w:tc>
          <w:tcPr>
            <w:tcW w:w="1260" w:type="dxa"/>
            <w:noWrap/>
            <w:vAlign w:val="center"/>
          </w:tcPr>
          <w:p w14:paraId="7A718FCE" w14:textId="2F3FE63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29</w:t>
            </w:r>
          </w:p>
        </w:tc>
      </w:tr>
      <w:tr w:rsidR="00470980" w:rsidRPr="00F549CC" w14:paraId="0AE4F38C" w14:textId="77777777" w:rsidTr="006148C7">
        <w:trPr>
          <w:trHeight w:val="320"/>
        </w:trPr>
        <w:tc>
          <w:tcPr>
            <w:tcW w:w="1260" w:type="dxa"/>
            <w:noWrap/>
            <w:vAlign w:val="center"/>
          </w:tcPr>
          <w:p w14:paraId="5D04911F" w14:textId="416F4F34"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White rice noodles</w:t>
            </w:r>
          </w:p>
        </w:tc>
        <w:tc>
          <w:tcPr>
            <w:tcW w:w="943" w:type="dxa"/>
            <w:noWrap/>
            <w:vAlign w:val="center"/>
          </w:tcPr>
          <w:p w14:paraId="13403A1E" w14:textId="663E507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947" w:type="dxa"/>
            <w:noWrap/>
            <w:vAlign w:val="center"/>
          </w:tcPr>
          <w:p w14:paraId="22023AEF" w14:textId="7FA19F2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720" w:type="dxa"/>
            <w:vAlign w:val="center"/>
          </w:tcPr>
          <w:p w14:paraId="4A9BB8D7" w14:textId="76635E4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w:t>
            </w:r>
          </w:p>
        </w:tc>
        <w:tc>
          <w:tcPr>
            <w:tcW w:w="720" w:type="dxa"/>
            <w:noWrap/>
            <w:vAlign w:val="center"/>
          </w:tcPr>
          <w:p w14:paraId="530EFE06" w14:textId="5D25A69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21</w:t>
            </w:r>
          </w:p>
        </w:tc>
        <w:tc>
          <w:tcPr>
            <w:tcW w:w="720" w:type="dxa"/>
            <w:noWrap/>
            <w:vAlign w:val="center"/>
          </w:tcPr>
          <w:p w14:paraId="013417EE" w14:textId="087490A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11</w:t>
            </w:r>
          </w:p>
        </w:tc>
        <w:tc>
          <w:tcPr>
            <w:tcW w:w="990" w:type="dxa"/>
            <w:noWrap/>
            <w:vAlign w:val="center"/>
          </w:tcPr>
          <w:p w14:paraId="4686C094" w14:textId="7ADE0712"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84</w:t>
            </w:r>
          </w:p>
        </w:tc>
        <w:tc>
          <w:tcPr>
            <w:tcW w:w="900" w:type="dxa"/>
            <w:vAlign w:val="center"/>
          </w:tcPr>
          <w:p w14:paraId="3A96D3AC" w14:textId="32C2246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47432D9F" w14:textId="5CFBDF7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1260" w:type="dxa"/>
            <w:noWrap/>
            <w:vAlign w:val="center"/>
          </w:tcPr>
          <w:p w14:paraId="773A192E" w14:textId="45B95DE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26</w:t>
            </w:r>
          </w:p>
        </w:tc>
      </w:tr>
      <w:tr w:rsidR="00470980" w:rsidRPr="00F549CC" w14:paraId="1CF2A398" w14:textId="77777777" w:rsidTr="006148C7">
        <w:trPr>
          <w:trHeight w:val="320"/>
        </w:trPr>
        <w:tc>
          <w:tcPr>
            <w:tcW w:w="1260" w:type="dxa"/>
            <w:noWrap/>
            <w:vAlign w:val="center"/>
          </w:tcPr>
          <w:p w14:paraId="6CA37033" w14:textId="735365AA"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Coconut</w:t>
            </w:r>
          </w:p>
        </w:tc>
        <w:tc>
          <w:tcPr>
            <w:tcW w:w="943" w:type="dxa"/>
            <w:noWrap/>
            <w:vAlign w:val="center"/>
          </w:tcPr>
          <w:p w14:paraId="55145541" w14:textId="61701E4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w:t>
            </w:r>
          </w:p>
        </w:tc>
        <w:tc>
          <w:tcPr>
            <w:tcW w:w="947" w:type="dxa"/>
            <w:noWrap/>
            <w:vAlign w:val="center"/>
          </w:tcPr>
          <w:p w14:paraId="08177AB4" w14:textId="254726E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19</w:t>
            </w:r>
          </w:p>
        </w:tc>
        <w:tc>
          <w:tcPr>
            <w:tcW w:w="720" w:type="dxa"/>
            <w:vAlign w:val="center"/>
          </w:tcPr>
          <w:p w14:paraId="07CB07F0" w14:textId="35ABFE8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w:t>
            </w:r>
          </w:p>
        </w:tc>
        <w:tc>
          <w:tcPr>
            <w:tcW w:w="720" w:type="dxa"/>
            <w:noWrap/>
            <w:vAlign w:val="center"/>
          </w:tcPr>
          <w:p w14:paraId="12FC2CAD" w14:textId="224F502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27</w:t>
            </w:r>
          </w:p>
        </w:tc>
        <w:tc>
          <w:tcPr>
            <w:tcW w:w="720" w:type="dxa"/>
            <w:noWrap/>
            <w:vAlign w:val="center"/>
          </w:tcPr>
          <w:p w14:paraId="6F4A9BF2" w14:textId="57C22E2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61</w:t>
            </w:r>
          </w:p>
        </w:tc>
        <w:tc>
          <w:tcPr>
            <w:tcW w:w="990" w:type="dxa"/>
            <w:noWrap/>
            <w:vAlign w:val="center"/>
          </w:tcPr>
          <w:p w14:paraId="1C4D8E79" w14:textId="4F72378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50</w:t>
            </w:r>
          </w:p>
        </w:tc>
        <w:tc>
          <w:tcPr>
            <w:tcW w:w="900" w:type="dxa"/>
            <w:vAlign w:val="center"/>
          </w:tcPr>
          <w:p w14:paraId="665F7FA9" w14:textId="6BCA402A"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-48</w:t>
            </w:r>
          </w:p>
        </w:tc>
        <w:tc>
          <w:tcPr>
            <w:tcW w:w="990" w:type="dxa"/>
            <w:noWrap/>
            <w:vAlign w:val="center"/>
          </w:tcPr>
          <w:p w14:paraId="78B17013" w14:textId="490C7595"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15</w:t>
            </w:r>
          </w:p>
        </w:tc>
        <w:tc>
          <w:tcPr>
            <w:tcW w:w="1260" w:type="dxa"/>
            <w:noWrap/>
            <w:vAlign w:val="center"/>
          </w:tcPr>
          <w:p w14:paraId="4A258881" w14:textId="7E07A560"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22</w:t>
            </w:r>
          </w:p>
        </w:tc>
      </w:tr>
      <w:tr w:rsidR="00470980" w:rsidRPr="00F549CC" w14:paraId="696DC050" w14:textId="77777777" w:rsidTr="006148C7">
        <w:trPr>
          <w:trHeight w:val="320"/>
        </w:trPr>
        <w:tc>
          <w:tcPr>
            <w:tcW w:w="1260" w:type="dxa"/>
            <w:noWrap/>
            <w:vAlign w:val="center"/>
          </w:tcPr>
          <w:p w14:paraId="6C5459EF" w14:textId="06604253"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White rice</w:t>
            </w:r>
          </w:p>
        </w:tc>
        <w:tc>
          <w:tcPr>
            <w:tcW w:w="943" w:type="dxa"/>
            <w:noWrap/>
            <w:vAlign w:val="center"/>
          </w:tcPr>
          <w:p w14:paraId="7B0B1BD5" w14:textId="35DD1397"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w:t>
            </w:r>
          </w:p>
        </w:tc>
        <w:tc>
          <w:tcPr>
            <w:tcW w:w="947" w:type="dxa"/>
            <w:noWrap/>
            <w:vAlign w:val="center"/>
          </w:tcPr>
          <w:p w14:paraId="7437BDE0" w14:textId="7D454C7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w:t>
            </w:r>
          </w:p>
        </w:tc>
        <w:tc>
          <w:tcPr>
            <w:tcW w:w="720" w:type="dxa"/>
            <w:vAlign w:val="center"/>
          </w:tcPr>
          <w:p w14:paraId="197C3230" w14:textId="66943FE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w:t>
            </w:r>
          </w:p>
        </w:tc>
        <w:tc>
          <w:tcPr>
            <w:tcW w:w="720" w:type="dxa"/>
            <w:noWrap/>
            <w:vAlign w:val="center"/>
          </w:tcPr>
          <w:p w14:paraId="4C9E1FFF" w14:textId="60659CA6"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21</w:t>
            </w:r>
          </w:p>
        </w:tc>
        <w:tc>
          <w:tcPr>
            <w:tcW w:w="720" w:type="dxa"/>
            <w:noWrap/>
            <w:vAlign w:val="center"/>
          </w:tcPr>
          <w:p w14:paraId="693E5B31" w14:textId="35376A9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w:t>
            </w:r>
          </w:p>
        </w:tc>
        <w:tc>
          <w:tcPr>
            <w:tcW w:w="990" w:type="dxa"/>
            <w:noWrap/>
            <w:vAlign w:val="center"/>
          </w:tcPr>
          <w:p w14:paraId="183D53AD" w14:textId="2A00037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51</w:t>
            </w:r>
          </w:p>
        </w:tc>
        <w:tc>
          <w:tcPr>
            <w:tcW w:w="900" w:type="dxa"/>
            <w:vAlign w:val="center"/>
          </w:tcPr>
          <w:p w14:paraId="03BFC468" w14:textId="5D92787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6EDE71DE" w14:textId="57249E4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4</w:t>
            </w:r>
          </w:p>
        </w:tc>
        <w:tc>
          <w:tcPr>
            <w:tcW w:w="1260" w:type="dxa"/>
            <w:noWrap/>
            <w:vAlign w:val="center"/>
          </w:tcPr>
          <w:p w14:paraId="66C3324E" w14:textId="32D938AD"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15</w:t>
            </w:r>
          </w:p>
        </w:tc>
      </w:tr>
      <w:tr w:rsidR="00470980" w:rsidRPr="00F549CC" w14:paraId="7E7C8D02" w14:textId="77777777" w:rsidTr="006148C7">
        <w:trPr>
          <w:trHeight w:val="320"/>
        </w:trPr>
        <w:tc>
          <w:tcPr>
            <w:tcW w:w="1260" w:type="dxa"/>
            <w:noWrap/>
            <w:vAlign w:val="center"/>
          </w:tcPr>
          <w:p w14:paraId="7EF25A40" w14:textId="52601CBD" w:rsidR="00470980" w:rsidRPr="00470980" w:rsidRDefault="00470980" w:rsidP="008B6B18">
            <w:pPr>
              <w:spacing w:before="0"/>
              <w:rPr>
                <w:rFonts w:ascii="Times New Roman" w:hAnsi="Times New Roman" w:cs="Times New Roman"/>
                <w:sz w:val="20"/>
                <w:szCs w:val="20"/>
              </w:rPr>
            </w:pPr>
            <w:r w:rsidRPr="00470980">
              <w:rPr>
                <w:rFonts w:ascii="Times New Roman" w:hAnsi="Times New Roman" w:cs="Times New Roman"/>
                <w:color w:val="000000"/>
                <w:sz w:val="20"/>
                <w:szCs w:val="20"/>
              </w:rPr>
              <w:t>Congee (rice porridge)</w:t>
            </w:r>
          </w:p>
        </w:tc>
        <w:tc>
          <w:tcPr>
            <w:tcW w:w="943" w:type="dxa"/>
            <w:noWrap/>
            <w:vAlign w:val="center"/>
          </w:tcPr>
          <w:p w14:paraId="327D3752" w14:textId="4C3B5AF9"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11</w:t>
            </w:r>
          </w:p>
        </w:tc>
        <w:tc>
          <w:tcPr>
            <w:tcW w:w="947" w:type="dxa"/>
            <w:noWrap/>
            <w:vAlign w:val="center"/>
          </w:tcPr>
          <w:p w14:paraId="08C01830" w14:textId="1C1DD3E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6</w:t>
            </w:r>
          </w:p>
        </w:tc>
        <w:tc>
          <w:tcPr>
            <w:tcW w:w="720" w:type="dxa"/>
            <w:vAlign w:val="center"/>
          </w:tcPr>
          <w:p w14:paraId="4C6CA348" w14:textId="3F572FC4"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2</w:t>
            </w:r>
          </w:p>
        </w:tc>
        <w:tc>
          <w:tcPr>
            <w:tcW w:w="720" w:type="dxa"/>
            <w:noWrap/>
            <w:vAlign w:val="center"/>
          </w:tcPr>
          <w:p w14:paraId="7EC0E3AF" w14:textId="0ED04CCB"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30</w:t>
            </w:r>
          </w:p>
        </w:tc>
        <w:tc>
          <w:tcPr>
            <w:tcW w:w="720" w:type="dxa"/>
            <w:noWrap/>
            <w:vAlign w:val="center"/>
          </w:tcPr>
          <w:p w14:paraId="48EBAB4E" w14:textId="681ED25F"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3</w:t>
            </w:r>
          </w:p>
        </w:tc>
        <w:tc>
          <w:tcPr>
            <w:tcW w:w="990" w:type="dxa"/>
            <w:noWrap/>
            <w:vAlign w:val="center"/>
          </w:tcPr>
          <w:p w14:paraId="1417BD69" w14:textId="0179836C"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c>
          <w:tcPr>
            <w:tcW w:w="900" w:type="dxa"/>
            <w:vAlign w:val="center"/>
          </w:tcPr>
          <w:p w14:paraId="6DCA1219" w14:textId="2DB371D8"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0</w:t>
            </w:r>
          </w:p>
        </w:tc>
        <w:tc>
          <w:tcPr>
            <w:tcW w:w="990" w:type="dxa"/>
            <w:noWrap/>
            <w:vAlign w:val="center"/>
          </w:tcPr>
          <w:p w14:paraId="7C2548AE" w14:textId="58233A5E"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11</w:t>
            </w:r>
          </w:p>
        </w:tc>
        <w:tc>
          <w:tcPr>
            <w:tcW w:w="1260" w:type="dxa"/>
            <w:noWrap/>
            <w:vAlign w:val="center"/>
          </w:tcPr>
          <w:p w14:paraId="3D62484D" w14:textId="5A8317C1" w:rsidR="00470980" w:rsidRPr="00470980" w:rsidRDefault="00470980" w:rsidP="008B6B18">
            <w:pPr>
              <w:spacing w:before="0"/>
              <w:jc w:val="center"/>
              <w:rPr>
                <w:rFonts w:ascii="Times New Roman" w:hAnsi="Times New Roman" w:cs="Times New Roman"/>
                <w:sz w:val="20"/>
                <w:szCs w:val="20"/>
              </w:rPr>
            </w:pPr>
            <w:r w:rsidRPr="00470980">
              <w:rPr>
                <w:rFonts w:ascii="Times New Roman" w:hAnsi="Times New Roman" w:cs="Times New Roman"/>
                <w:color w:val="000000"/>
                <w:sz w:val="20"/>
                <w:szCs w:val="20"/>
              </w:rPr>
              <w:t>1</w:t>
            </w:r>
          </w:p>
        </w:tc>
      </w:tr>
    </w:tbl>
    <w:p w14:paraId="69A145FE" w14:textId="77777777" w:rsidR="007B1E83" w:rsidRPr="00A17AAB" w:rsidRDefault="007B1E83" w:rsidP="00B674AE">
      <w:pPr>
        <w:suppressLineNumbers/>
        <w:spacing w:line="480" w:lineRule="auto"/>
        <w:rPr>
          <w:rFonts w:ascii="Times New Roman" w:eastAsia="Times New Roman" w:hAnsi="Times New Roman" w:cs="Times New Roman"/>
        </w:rPr>
      </w:pPr>
    </w:p>
    <w:sectPr w:rsidR="007B1E83" w:rsidRPr="00A17AAB">
      <w:headerReference w:type="even" r:id="rId16"/>
      <w:headerReference w:type="default" r:id="rId17"/>
      <w:footerReference w:type="even" r:id="rId18"/>
      <w:footerReference w:type="default" r:id="rId19"/>
      <w:pgSz w:w="11900" w:h="1682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38A44D" w14:textId="77777777" w:rsidR="00B403FD" w:rsidRDefault="00B403FD">
      <w:r>
        <w:separator/>
      </w:r>
    </w:p>
  </w:endnote>
  <w:endnote w:type="continuationSeparator" w:id="0">
    <w:p w14:paraId="74C91779" w14:textId="77777777" w:rsidR="00B403FD" w:rsidRDefault="00B40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w:altName w:val="Calibri"/>
    <w:charset w:val="4D"/>
    <w:family w:val="swiss"/>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7E09F" w14:textId="77777777" w:rsidR="00C05F6D" w:rsidRDefault="00C05F6D">
    <w:pPr>
      <w:pBdr>
        <w:top w:val="nil"/>
        <w:left w:val="nil"/>
        <w:bottom w:val="nil"/>
        <w:right w:val="nil"/>
        <w:between w:val="nil"/>
      </w:pBdr>
      <w:rPr>
        <w:color w:val="44546A"/>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B6693" w14:textId="07E76AAB" w:rsidR="00C05F6D" w:rsidRDefault="00C05F6D">
    <w:pPr>
      <w:widowControl w:val="0"/>
      <w:pBdr>
        <w:top w:val="nil"/>
        <w:left w:val="nil"/>
        <w:bottom w:val="nil"/>
        <w:right w:val="nil"/>
        <w:between w:val="nil"/>
      </w:pBdr>
      <w:spacing w:line="276" w:lineRule="auto"/>
      <w:rPr>
        <w:color w:val="44546A"/>
        <w:sz w:val="18"/>
        <w:szCs w:val="18"/>
      </w:rPr>
    </w:pPr>
  </w:p>
  <w:p w14:paraId="0F908C90" w14:textId="77777777" w:rsidR="00C05F6D" w:rsidRDefault="00C05F6D">
    <w:pPr>
      <w:pBdr>
        <w:top w:val="nil"/>
        <w:left w:val="nil"/>
        <w:bottom w:val="nil"/>
        <w:right w:val="nil"/>
        <w:between w:val="nil"/>
      </w:pBdr>
      <w:rPr>
        <w:color w:val="44546A"/>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E2445" w14:textId="77777777" w:rsidR="00B403FD" w:rsidRDefault="00B403FD">
      <w:r>
        <w:separator/>
      </w:r>
    </w:p>
  </w:footnote>
  <w:footnote w:type="continuationSeparator" w:id="0">
    <w:p w14:paraId="7816FE41" w14:textId="77777777" w:rsidR="00B403FD" w:rsidRDefault="00B40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5639E" w14:textId="44A98514" w:rsidR="00C05F6D" w:rsidRDefault="00C05F6D">
    <w:pPr>
      <w:widowControl w:val="0"/>
      <w:pBdr>
        <w:top w:val="nil"/>
        <w:left w:val="nil"/>
        <w:bottom w:val="nil"/>
        <w:right w:val="nil"/>
        <w:between w:val="nil"/>
      </w:pBdr>
      <w:spacing w:line="276" w:lineRule="auto"/>
      <w:rPr>
        <w:color w:val="44546A"/>
        <w:sz w:val="18"/>
        <w:szCs w:val="18"/>
      </w:rPr>
    </w:pPr>
  </w:p>
  <w:p w14:paraId="439EA5E3" w14:textId="77777777" w:rsidR="00C05F6D" w:rsidRDefault="00C05F6D">
    <w:pPr>
      <w:pBdr>
        <w:top w:val="nil"/>
        <w:left w:val="nil"/>
        <w:bottom w:val="nil"/>
        <w:right w:val="nil"/>
        <w:between w:val="nil"/>
      </w:pBdr>
      <w:rPr>
        <w:color w:val="44546A"/>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4B3EB" w14:textId="7025041D" w:rsidR="00C05F6D" w:rsidRDefault="00C05F6D">
    <w:pPr>
      <w:widowControl w:val="0"/>
      <w:pBdr>
        <w:top w:val="nil"/>
        <w:left w:val="nil"/>
        <w:bottom w:val="nil"/>
        <w:right w:val="nil"/>
        <w:between w:val="nil"/>
      </w:pBdr>
      <w:spacing w:line="276" w:lineRule="auto"/>
      <w:rPr>
        <w:color w:val="44546A"/>
        <w:sz w:val="18"/>
        <w:szCs w:val="18"/>
      </w:rPr>
    </w:pPr>
  </w:p>
  <w:p w14:paraId="15648BC9" w14:textId="77777777" w:rsidR="00C05F6D" w:rsidRDefault="00C05F6D">
    <w:pPr>
      <w:pBdr>
        <w:top w:val="nil"/>
        <w:left w:val="nil"/>
        <w:bottom w:val="nil"/>
        <w:right w:val="nil"/>
        <w:between w:val="nil"/>
      </w:pBdr>
      <w:rPr>
        <w:color w:val="44546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3632F"/>
    <w:multiLevelType w:val="multilevel"/>
    <w:tmpl w:val="B8DC716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D3E06DF"/>
    <w:multiLevelType w:val="multilevel"/>
    <w:tmpl w:val="758E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F826CD"/>
    <w:multiLevelType w:val="multilevel"/>
    <w:tmpl w:val="850A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6D5174"/>
    <w:multiLevelType w:val="multilevel"/>
    <w:tmpl w:val="3574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992711"/>
    <w:multiLevelType w:val="hybridMultilevel"/>
    <w:tmpl w:val="EF3ED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C808B0"/>
    <w:multiLevelType w:val="hybridMultilevel"/>
    <w:tmpl w:val="47EA45CA"/>
    <w:lvl w:ilvl="0" w:tplc="AAE6E8A6">
      <w:start w:val="1"/>
      <w:numFmt w:val="decimal"/>
      <w:lvlText w:val="%1."/>
      <w:lvlJc w:val="left"/>
      <w:pPr>
        <w:ind w:left="720" w:hanging="360"/>
      </w:pPr>
    </w:lvl>
    <w:lvl w:ilvl="1" w:tplc="E4F068A0">
      <w:start w:val="1"/>
      <w:numFmt w:val="lowerLetter"/>
      <w:lvlText w:val="%2."/>
      <w:lvlJc w:val="left"/>
      <w:pPr>
        <w:ind w:left="1440" w:hanging="360"/>
      </w:pPr>
    </w:lvl>
    <w:lvl w:ilvl="2" w:tplc="206A02F2">
      <w:start w:val="1"/>
      <w:numFmt w:val="lowerRoman"/>
      <w:lvlText w:val="%3."/>
      <w:lvlJc w:val="right"/>
      <w:pPr>
        <w:ind w:left="2160" w:hanging="180"/>
      </w:pPr>
    </w:lvl>
    <w:lvl w:ilvl="3" w:tplc="7AA47FB0">
      <w:start w:val="1"/>
      <w:numFmt w:val="decimal"/>
      <w:lvlText w:val="%4."/>
      <w:lvlJc w:val="left"/>
      <w:pPr>
        <w:ind w:left="2880" w:hanging="360"/>
      </w:pPr>
    </w:lvl>
    <w:lvl w:ilvl="4" w:tplc="E840626A">
      <w:start w:val="1"/>
      <w:numFmt w:val="lowerLetter"/>
      <w:lvlText w:val="%5."/>
      <w:lvlJc w:val="left"/>
      <w:pPr>
        <w:ind w:left="3600" w:hanging="360"/>
      </w:pPr>
    </w:lvl>
    <w:lvl w:ilvl="5" w:tplc="DDEAFD20">
      <w:start w:val="1"/>
      <w:numFmt w:val="lowerRoman"/>
      <w:lvlText w:val="%6."/>
      <w:lvlJc w:val="right"/>
      <w:pPr>
        <w:ind w:left="4320" w:hanging="180"/>
      </w:pPr>
    </w:lvl>
    <w:lvl w:ilvl="6" w:tplc="5B60DAFE">
      <w:start w:val="1"/>
      <w:numFmt w:val="decimal"/>
      <w:lvlText w:val="%7."/>
      <w:lvlJc w:val="left"/>
      <w:pPr>
        <w:ind w:left="5040" w:hanging="360"/>
      </w:pPr>
    </w:lvl>
    <w:lvl w:ilvl="7" w:tplc="F244E05C">
      <w:start w:val="1"/>
      <w:numFmt w:val="lowerLetter"/>
      <w:lvlText w:val="%8."/>
      <w:lvlJc w:val="left"/>
      <w:pPr>
        <w:ind w:left="5760" w:hanging="360"/>
      </w:pPr>
    </w:lvl>
    <w:lvl w:ilvl="8" w:tplc="E808411A">
      <w:start w:val="1"/>
      <w:numFmt w:val="lowerRoman"/>
      <w:lvlText w:val="%9."/>
      <w:lvlJc w:val="right"/>
      <w:pPr>
        <w:ind w:left="6480" w:hanging="180"/>
      </w:pPr>
    </w:lvl>
  </w:abstractNum>
  <w:num w:numId="1" w16cid:durableId="1018192311">
    <w:abstractNumId w:val="0"/>
  </w:num>
  <w:num w:numId="2" w16cid:durableId="174882071">
    <w:abstractNumId w:val="5"/>
  </w:num>
  <w:num w:numId="3" w16cid:durableId="654719065">
    <w:abstractNumId w:val="4"/>
  </w:num>
  <w:num w:numId="4" w16cid:durableId="516577196">
    <w:abstractNumId w:val="3"/>
  </w:num>
  <w:num w:numId="5" w16cid:durableId="5060026">
    <w:abstractNumId w:val="1"/>
  </w:num>
  <w:num w:numId="6" w16cid:durableId="2022974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F6D"/>
    <w:rsid w:val="00000018"/>
    <w:rsid w:val="000007AF"/>
    <w:rsid w:val="00001F4B"/>
    <w:rsid w:val="00002D68"/>
    <w:rsid w:val="00002DA0"/>
    <w:rsid w:val="0000602F"/>
    <w:rsid w:val="00007A63"/>
    <w:rsid w:val="000114A3"/>
    <w:rsid w:val="000122DE"/>
    <w:rsid w:val="00016B3E"/>
    <w:rsid w:val="00020EC2"/>
    <w:rsid w:val="0002254A"/>
    <w:rsid w:val="0002637B"/>
    <w:rsid w:val="00026D6D"/>
    <w:rsid w:val="00027A85"/>
    <w:rsid w:val="000306F6"/>
    <w:rsid w:val="00031D40"/>
    <w:rsid w:val="0003323C"/>
    <w:rsid w:val="00034419"/>
    <w:rsid w:val="00035750"/>
    <w:rsid w:val="00037001"/>
    <w:rsid w:val="000406BA"/>
    <w:rsid w:val="00041A65"/>
    <w:rsid w:val="00042E7F"/>
    <w:rsid w:val="00043041"/>
    <w:rsid w:val="00043759"/>
    <w:rsid w:val="00045B1E"/>
    <w:rsid w:val="0005078D"/>
    <w:rsid w:val="000529CA"/>
    <w:rsid w:val="00052AEB"/>
    <w:rsid w:val="00053A4B"/>
    <w:rsid w:val="00055958"/>
    <w:rsid w:val="00055C5A"/>
    <w:rsid w:val="000564C3"/>
    <w:rsid w:val="00057C9B"/>
    <w:rsid w:val="0006253C"/>
    <w:rsid w:val="0006566E"/>
    <w:rsid w:val="00065D39"/>
    <w:rsid w:val="00066CD6"/>
    <w:rsid w:val="00070729"/>
    <w:rsid w:val="00074C73"/>
    <w:rsid w:val="00075928"/>
    <w:rsid w:val="0007643C"/>
    <w:rsid w:val="00077F9D"/>
    <w:rsid w:val="00081296"/>
    <w:rsid w:val="0008380C"/>
    <w:rsid w:val="00083B5B"/>
    <w:rsid w:val="00083ECE"/>
    <w:rsid w:val="0008504D"/>
    <w:rsid w:val="00086963"/>
    <w:rsid w:val="000879E5"/>
    <w:rsid w:val="0009389D"/>
    <w:rsid w:val="00097FC2"/>
    <w:rsid w:val="000A02B5"/>
    <w:rsid w:val="000A27B0"/>
    <w:rsid w:val="000A59CA"/>
    <w:rsid w:val="000A6D23"/>
    <w:rsid w:val="000A7765"/>
    <w:rsid w:val="000B13FF"/>
    <w:rsid w:val="000B57B7"/>
    <w:rsid w:val="000B7496"/>
    <w:rsid w:val="000B7C8C"/>
    <w:rsid w:val="000C35A2"/>
    <w:rsid w:val="000C3DE8"/>
    <w:rsid w:val="000C3E15"/>
    <w:rsid w:val="000C4226"/>
    <w:rsid w:val="000C494D"/>
    <w:rsid w:val="000D149E"/>
    <w:rsid w:val="000D20F5"/>
    <w:rsid w:val="000D22B3"/>
    <w:rsid w:val="000D3870"/>
    <w:rsid w:val="000D4264"/>
    <w:rsid w:val="000D48A6"/>
    <w:rsid w:val="000D4CC8"/>
    <w:rsid w:val="000D6BF5"/>
    <w:rsid w:val="000E080A"/>
    <w:rsid w:val="000E0E84"/>
    <w:rsid w:val="000E151D"/>
    <w:rsid w:val="000E1958"/>
    <w:rsid w:val="000E2D31"/>
    <w:rsid w:val="000E5CB6"/>
    <w:rsid w:val="000F25D0"/>
    <w:rsid w:val="000F2D2A"/>
    <w:rsid w:val="00103447"/>
    <w:rsid w:val="0010530D"/>
    <w:rsid w:val="00105622"/>
    <w:rsid w:val="0010669F"/>
    <w:rsid w:val="00107594"/>
    <w:rsid w:val="00110627"/>
    <w:rsid w:val="001107CF"/>
    <w:rsid w:val="00112CF3"/>
    <w:rsid w:val="00113699"/>
    <w:rsid w:val="001136DE"/>
    <w:rsid w:val="00114AAF"/>
    <w:rsid w:val="00116117"/>
    <w:rsid w:val="001164CB"/>
    <w:rsid w:val="0011738B"/>
    <w:rsid w:val="001201CB"/>
    <w:rsid w:val="00121075"/>
    <w:rsid w:val="001213F7"/>
    <w:rsid w:val="0012170F"/>
    <w:rsid w:val="00122412"/>
    <w:rsid w:val="001235B8"/>
    <w:rsid w:val="00123BE8"/>
    <w:rsid w:val="0012428C"/>
    <w:rsid w:val="00132172"/>
    <w:rsid w:val="00134071"/>
    <w:rsid w:val="001355CC"/>
    <w:rsid w:val="001368C3"/>
    <w:rsid w:val="00140913"/>
    <w:rsid w:val="0014163B"/>
    <w:rsid w:val="00142580"/>
    <w:rsid w:val="00143CDB"/>
    <w:rsid w:val="00144976"/>
    <w:rsid w:val="00145626"/>
    <w:rsid w:val="00152A39"/>
    <w:rsid w:val="00154082"/>
    <w:rsid w:val="0015596F"/>
    <w:rsid w:val="001571F6"/>
    <w:rsid w:val="00161B7E"/>
    <w:rsid w:val="0016219C"/>
    <w:rsid w:val="0016534A"/>
    <w:rsid w:val="00167856"/>
    <w:rsid w:val="0017230A"/>
    <w:rsid w:val="00172AC5"/>
    <w:rsid w:val="0017642C"/>
    <w:rsid w:val="00180AD3"/>
    <w:rsid w:val="00181A75"/>
    <w:rsid w:val="001846BA"/>
    <w:rsid w:val="001852DE"/>
    <w:rsid w:val="001863A8"/>
    <w:rsid w:val="00187A02"/>
    <w:rsid w:val="001904BC"/>
    <w:rsid w:val="001905CE"/>
    <w:rsid w:val="001908F3"/>
    <w:rsid w:val="00194173"/>
    <w:rsid w:val="0019569F"/>
    <w:rsid w:val="00196C35"/>
    <w:rsid w:val="00196E93"/>
    <w:rsid w:val="001972CD"/>
    <w:rsid w:val="00197D2B"/>
    <w:rsid w:val="001A02CD"/>
    <w:rsid w:val="001A0853"/>
    <w:rsid w:val="001A0CCF"/>
    <w:rsid w:val="001A1302"/>
    <w:rsid w:val="001A5890"/>
    <w:rsid w:val="001A63E2"/>
    <w:rsid w:val="001A7E61"/>
    <w:rsid w:val="001B1CD2"/>
    <w:rsid w:val="001B4F0E"/>
    <w:rsid w:val="001B66F0"/>
    <w:rsid w:val="001B793D"/>
    <w:rsid w:val="001C13B3"/>
    <w:rsid w:val="001C1693"/>
    <w:rsid w:val="001C1AFE"/>
    <w:rsid w:val="001C2D53"/>
    <w:rsid w:val="001C43DC"/>
    <w:rsid w:val="001C4ACA"/>
    <w:rsid w:val="001C6067"/>
    <w:rsid w:val="001D1B48"/>
    <w:rsid w:val="001D467A"/>
    <w:rsid w:val="001D5D22"/>
    <w:rsid w:val="001E03E0"/>
    <w:rsid w:val="001E06B2"/>
    <w:rsid w:val="001E0AD0"/>
    <w:rsid w:val="001E3CCA"/>
    <w:rsid w:val="001E4B98"/>
    <w:rsid w:val="001E6435"/>
    <w:rsid w:val="001F2DA3"/>
    <w:rsid w:val="001F3F54"/>
    <w:rsid w:val="001F711A"/>
    <w:rsid w:val="0020583C"/>
    <w:rsid w:val="00206855"/>
    <w:rsid w:val="00207314"/>
    <w:rsid w:val="002111D4"/>
    <w:rsid w:val="00214752"/>
    <w:rsid w:val="00216A28"/>
    <w:rsid w:val="00217E9C"/>
    <w:rsid w:val="00221778"/>
    <w:rsid w:val="00222C08"/>
    <w:rsid w:val="00225002"/>
    <w:rsid w:val="002250D8"/>
    <w:rsid w:val="00233578"/>
    <w:rsid w:val="00233694"/>
    <w:rsid w:val="00234BE4"/>
    <w:rsid w:val="0023500B"/>
    <w:rsid w:val="00241C1E"/>
    <w:rsid w:val="00244A01"/>
    <w:rsid w:val="002453CF"/>
    <w:rsid w:val="00246ACF"/>
    <w:rsid w:val="0024731F"/>
    <w:rsid w:val="00250717"/>
    <w:rsid w:val="00251BEF"/>
    <w:rsid w:val="00251D83"/>
    <w:rsid w:val="00254FE3"/>
    <w:rsid w:val="00256B0C"/>
    <w:rsid w:val="00256F5B"/>
    <w:rsid w:val="002600BA"/>
    <w:rsid w:val="0026010B"/>
    <w:rsid w:val="00262A4B"/>
    <w:rsid w:val="00263541"/>
    <w:rsid w:val="0026499C"/>
    <w:rsid w:val="002663B9"/>
    <w:rsid w:val="0026642A"/>
    <w:rsid w:val="0026704A"/>
    <w:rsid w:val="002674AC"/>
    <w:rsid w:val="0027077B"/>
    <w:rsid w:val="002709E7"/>
    <w:rsid w:val="00273541"/>
    <w:rsid w:val="00273E98"/>
    <w:rsid w:val="00274253"/>
    <w:rsid w:val="00274417"/>
    <w:rsid w:val="0027494E"/>
    <w:rsid w:val="00275DBA"/>
    <w:rsid w:val="00275DF4"/>
    <w:rsid w:val="00280EA0"/>
    <w:rsid w:val="002812A6"/>
    <w:rsid w:val="0028342F"/>
    <w:rsid w:val="002873A1"/>
    <w:rsid w:val="00290023"/>
    <w:rsid w:val="00291EB8"/>
    <w:rsid w:val="00295B7E"/>
    <w:rsid w:val="00295DB5"/>
    <w:rsid w:val="002A2813"/>
    <w:rsid w:val="002A7E9A"/>
    <w:rsid w:val="002B1096"/>
    <w:rsid w:val="002B2C91"/>
    <w:rsid w:val="002B2EBE"/>
    <w:rsid w:val="002B3F54"/>
    <w:rsid w:val="002B4892"/>
    <w:rsid w:val="002B4CFB"/>
    <w:rsid w:val="002B5480"/>
    <w:rsid w:val="002C0EDE"/>
    <w:rsid w:val="002C1A5F"/>
    <w:rsid w:val="002C1EAC"/>
    <w:rsid w:val="002C29B7"/>
    <w:rsid w:val="002D069D"/>
    <w:rsid w:val="002D0B28"/>
    <w:rsid w:val="002D0ECF"/>
    <w:rsid w:val="002D1D65"/>
    <w:rsid w:val="002D1F5D"/>
    <w:rsid w:val="002D30E9"/>
    <w:rsid w:val="002D512A"/>
    <w:rsid w:val="002D7ACB"/>
    <w:rsid w:val="002E386E"/>
    <w:rsid w:val="002E4C30"/>
    <w:rsid w:val="002E5F9B"/>
    <w:rsid w:val="002E6682"/>
    <w:rsid w:val="002F1B96"/>
    <w:rsid w:val="002F2C4A"/>
    <w:rsid w:val="002F44EE"/>
    <w:rsid w:val="002F697A"/>
    <w:rsid w:val="003003FD"/>
    <w:rsid w:val="003020FC"/>
    <w:rsid w:val="00303493"/>
    <w:rsid w:val="00303E49"/>
    <w:rsid w:val="00304CAE"/>
    <w:rsid w:val="0030632B"/>
    <w:rsid w:val="00313340"/>
    <w:rsid w:val="003136B0"/>
    <w:rsid w:val="003149C5"/>
    <w:rsid w:val="003160A2"/>
    <w:rsid w:val="00317FE9"/>
    <w:rsid w:val="003222A7"/>
    <w:rsid w:val="00323BEC"/>
    <w:rsid w:val="00324F12"/>
    <w:rsid w:val="0032510D"/>
    <w:rsid w:val="00330B01"/>
    <w:rsid w:val="003364B4"/>
    <w:rsid w:val="003402D0"/>
    <w:rsid w:val="003402D7"/>
    <w:rsid w:val="0034090C"/>
    <w:rsid w:val="00342190"/>
    <w:rsid w:val="00345D72"/>
    <w:rsid w:val="003478FF"/>
    <w:rsid w:val="003505D7"/>
    <w:rsid w:val="003529D4"/>
    <w:rsid w:val="00353130"/>
    <w:rsid w:val="00353F6D"/>
    <w:rsid w:val="00354218"/>
    <w:rsid w:val="0035482D"/>
    <w:rsid w:val="003550CA"/>
    <w:rsid w:val="003559C1"/>
    <w:rsid w:val="00357D17"/>
    <w:rsid w:val="003605EB"/>
    <w:rsid w:val="00363CF8"/>
    <w:rsid w:val="00364DE5"/>
    <w:rsid w:val="003677B7"/>
    <w:rsid w:val="0038146C"/>
    <w:rsid w:val="00391EE4"/>
    <w:rsid w:val="00393915"/>
    <w:rsid w:val="003957B4"/>
    <w:rsid w:val="0039686C"/>
    <w:rsid w:val="0039697E"/>
    <w:rsid w:val="00396CC5"/>
    <w:rsid w:val="0039728C"/>
    <w:rsid w:val="003A2E76"/>
    <w:rsid w:val="003A335B"/>
    <w:rsid w:val="003A4958"/>
    <w:rsid w:val="003A5574"/>
    <w:rsid w:val="003A5C2B"/>
    <w:rsid w:val="003A6C17"/>
    <w:rsid w:val="003A7AE8"/>
    <w:rsid w:val="003B0261"/>
    <w:rsid w:val="003B4690"/>
    <w:rsid w:val="003B499A"/>
    <w:rsid w:val="003B51C7"/>
    <w:rsid w:val="003B5C9C"/>
    <w:rsid w:val="003B6958"/>
    <w:rsid w:val="003B6F22"/>
    <w:rsid w:val="003C00D0"/>
    <w:rsid w:val="003C263D"/>
    <w:rsid w:val="003C3591"/>
    <w:rsid w:val="003C5D71"/>
    <w:rsid w:val="003D026F"/>
    <w:rsid w:val="003D30C1"/>
    <w:rsid w:val="003D3B7D"/>
    <w:rsid w:val="003D524D"/>
    <w:rsid w:val="003D636C"/>
    <w:rsid w:val="003E2304"/>
    <w:rsid w:val="003E25A5"/>
    <w:rsid w:val="003E2A77"/>
    <w:rsid w:val="003E35DD"/>
    <w:rsid w:val="003E43BF"/>
    <w:rsid w:val="003E5C99"/>
    <w:rsid w:val="003E67D3"/>
    <w:rsid w:val="003E7383"/>
    <w:rsid w:val="003F1065"/>
    <w:rsid w:val="003F1093"/>
    <w:rsid w:val="003F3FEE"/>
    <w:rsid w:val="003F4EA4"/>
    <w:rsid w:val="003F7176"/>
    <w:rsid w:val="004012B7"/>
    <w:rsid w:val="004016A1"/>
    <w:rsid w:val="00401E7B"/>
    <w:rsid w:val="004051C5"/>
    <w:rsid w:val="004063E9"/>
    <w:rsid w:val="00406633"/>
    <w:rsid w:val="004121FA"/>
    <w:rsid w:val="0041375C"/>
    <w:rsid w:val="00413798"/>
    <w:rsid w:val="00414879"/>
    <w:rsid w:val="00415CD1"/>
    <w:rsid w:val="00415FBC"/>
    <w:rsid w:val="00416312"/>
    <w:rsid w:val="00421902"/>
    <w:rsid w:val="00421B35"/>
    <w:rsid w:val="00422BF9"/>
    <w:rsid w:val="004243E9"/>
    <w:rsid w:val="00426566"/>
    <w:rsid w:val="0043046C"/>
    <w:rsid w:val="00431D86"/>
    <w:rsid w:val="004333C7"/>
    <w:rsid w:val="004344E9"/>
    <w:rsid w:val="00435B22"/>
    <w:rsid w:val="0043758F"/>
    <w:rsid w:val="0043788B"/>
    <w:rsid w:val="00437928"/>
    <w:rsid w:val="00440305"/>
    <w:rsid w:val="00440374"/>
    <w:rsid w:val="0044124C"/>
    <w:rsid w:val="0044313F"/>
    <w:rsid w:val="004437C0"/>
    <w:rsid w:val="00443899"/>
    <w:rsid w:val="00447211"/>
    <w:rsid w:val="004472B8"/>
    <w:rsid w:val="004477CE"/>
    <w:rsid w:val="00455CF5"/>
    <w:rsid w:val="00457834"/>
    <w:rsid w:val="0046047C"/>
    <w:rsid w:val="004610FD"/>
    <w:rsid w:val="00461D39"/>
    <w:rsid w:val="004624B3"/>
    <w:rsid w:val="00463209"/>
    <w:rsid w:val="00463A76"/>
    <w:rsid w:val="004656CC"/>
    <w:rsid w:val="00465AFF"/>
    <w:rsid w:val="00467B5F"/>
    <w:rsid w:val="00470980"/>
    <w:rsid w:val="00477931"/>
    <w:rsid w:val="0048098F"/>
    <w:rsid w:val="004817CC"/>
    <w:rsid w:val="00484B96"/>
    <w:rsid w:val="0049001E"/>
    <w:rsid w:val="004900AB"/>
    <w:rsid w:val="00490865"/>
    <w:rsid w:val="00490C00"/>
    <w:rsid w:val="00491310"/>
    <w:rsid w:val="00495CBE"/>
    <w:rsid w:val="00497D19"/>
    <w:rsid w:val="00497FAB"/>
    <w:rsid w:val="004A5302"/>
    <w:rsid w:val="004A5BB8"/>
    <w:rsid w:val="004A634D"/>
    <w:rsid w:val="004A7C20"/>
    <w:rsid w:val="004B2723"/>
    <w:rsid w:val="004B3477"/>
    <w:rsid w:val="004B6300"/>
    <w:rsid w:val="004B6C68"/>
    <w:rsid w:val="004B7EA2"/>
    <w:rsid w:val="004C064A"/>
    <w:rsid w:val="004C195F"/>
    <w:rsid w:val="004C2559"/>
    <w:rsid w:val="004C3FF7"/>
    <w:rsid w:val="004C47E9"/>
    <w:rsid w:val="004C5226"/>
    <w:rsid w:val="004C55BA"/>
    <w:rsid w:val="004C644A"/>
    <w:rsid w:val="004C74A5"/>
    <w:rsid w:val="004C7EB9"/>
    <w:rsid w:val="004D0512"/>
    <w:rsid w:val="004D14D8"/>
    <w:rsid w:val="004D1CBB"/>
    <w:rsid w:val="004D271D"/>
    <w:rsid w:val="004D28AB"/>
    <w:rsid w:val="004D344D"/>
    <w:rsid w:val="004D70B6"/>
    <w:rsid w:val="004E0319"/>
    <w:rsid w:val="004E2425"/>
    <w:rsid w:val="004E3A37"/>
    <w:rsid w:val="004E4D0F"/>
    <w:rsid w:val="004E58B7"/>
    <w:rsid w:val="004E6C03"/>
    <w:rsid w:val="004E776A"/>
    <w:rsid w:val="004F1C9B"/>
    <w:rsid w:val="004F4053"/>
    <w:rsid w:val="004F4566"/>
    <w:rsid w:val="004F5383"/>
    <w:rsid w:val="004F636D"/>
    <w:rsid w:val="00503D46"/>
    <w:rsid w:val="00506E9C"/>
    <w:rsid w:val="00507757"/>
    <w:rsid w:val="00507835"/>
    <w:rsid w:val="005079A7"/>
    <w:rsid w:val="0051031A"/>
    <w:rsid w:val="00513336"/>
    <w:rsid w:val="0051381E"/>
    <w:rsid w:val="0051505F"/>
    <w:rsid w:val="00515AFC"/>
    <w:rsid w:val="0051791F"/>
    <w:rsid w:val="00520B5E"/>
    <w:rsid w:val="00524070"/>
    <w:rsid w:val="00525BFA"/>
    <w:rsid w:val="005279EE"/>
    <w:rsid w:val="00531730"/>
    <w:rsid w:val="00532BA0"/>
    <w:rsid w:val="00533355"/>
    <w:rsid w:val="00536DA2"/>
    <w:rsid w:val="00537795"/>
    <w:rsid w:val="00541E24"/>
    <w:rsid w:val="00542C12"/>
    <w:rsid w:val="00542E6C"/>
    <w:rsid w:val="005441CF"/>
    <w:rsid w:val="005441E7"/>
    <w:rsid w:val="00544B7E"/>
    <w:rsid w:val="00544C0B"/>
    <w:rsid w:val="00544E0B"/>
    <w:rsid w:val="005466D7"/>
    <w:rsid w:val="00547FDC"/>
    <w:rsid w:val="005501AE"/>
    <w:rsid w:val="00550236"/>
    <w:rsid w:val="00550738"/>
    <w:rsid w:val="00550AE2"/>
    <w:rsid w:val="00552CB0"/>
    <w:rsid w:val="00555A5E"/>
    <w:rsid w:val="00555D47"/>
    <w:rsid w:val="0055667D"/>
    <w:rsid w:val="00557152"/>
    <w:rsid w:val="0056202F"/>
    <w:rsid w:val="0056254E"/>
    <w:rsid w:val="0056584B"/>
    <w:rsid w:val="0056626D"/>
    <w:rsid w:val="00573E37"/>
    <w:rsid w:val="0057511D"/>
    <w:rsid w:val="0057774D"/>
    <w:rsid w:val="0058140C"/>
    <w:rsid w:val="00582A0B"/>
    <w:rsid w:val="005831D5"/>
    <w:rsid w:val="005864C1"/>
    <w:rsid w:val="00591494"/>
    <w:rsid w:val="00592C4B"/>
    <w:rsid w:val="005943B7"/>
    <w:rsid w:val="00596DAB"/>
    <w:rsid w:val="005A2FC8"/>
    <w:rsid w:val="005A3239"/>
    <w:rsid w:val="005A3FC3"/>
    <w:rsid w:val="005A54AB"/>
    <w:rsid w:val="005A6035"/>
    <w:rsid w:val="005A70D3"/>
    <w:rsid w:val="005B1955"/>
    <w:rsid w:val="005B35A0"/>
    <w:rsid w:val="005B36A8"/>
    <w:rsid w:val="005B3EA0"/>
    <w:rsid w:val="005B53D3"/>
    <w:rsid w:val="005B5913"/>
    <w:rsid w:val="005B616A"/>
    <w:rsid w:val="005B7E3E"/>
    <w:rsid w:val="005C1652"/>
    <w:rsid w:val="005C3D73"/>
    <w:rsid w:val="005D2128"/>
    <w:rsid w:val="005D2210"/>
    <w:rsid w:val="005D233B"/>
    <w:rsid w:val="005D2367"/>
    <w:rsid w:val="005D2EA5"/>
    <w:rsid w:val="005D3B5E"/>
    <w:rsid w:val="005D457E"/>
    <w:rsid w:val="005D78E5"/>
    <w:rsid w:val="005E0646"/>
    <w:rsid w:val="005E0869"/>
    <w:rsid w:val="005E088B"/>
    <w:rsid w:val="005E23CD"/>
    <w:rsid w:val="005E6BF0"/>
    <w:rsid w:val="005E7761"/>
    <w:rsid w:val="005F5A03"/>
    <w:rsid w:val="005F72E3"/>
    <w:rsid w:val="00600EAE"/>
    <w:rsid w:val="006018B1"/>
    <w:rsid w:val="00601A12"/>
    <w:rsid w:val="006034B4"/>
    <w:rsid w:val="00604FAB"/>
    <w:rsid w:val="006058DF"/>
    <w:rsid w:val="006072D5"/>
    <w:rsid w:val="00610185"/>
    <w:rsid w:val="006148C7"/>
    <w:rsid w:val="0061774A"/>
    <w:rsid w:val="00621839"/>
    <w:rsid w:val="00623218"/>
    <w:rsid w:val="006233D1"/>
    <w:rsid w:val="00623673"/>
    <w:rsid w:val="00625B34"/>
    <w:rsid w:val="00627845"/>
    <w:rsid w:val="006301FC"/>
    <w:rsid w:val="006302CA"/>
    <w:rsid w:val="0063058A"/>
    <w:rsid w:val="00630BA9"/>
    <w:rsid w:val="00630F67"/>
    <w:rsid w:val="00631737"/>
    <w:rsid w:val="00632A7E"/>
    <w:rsid w:val="00633016"/>
    <w:rsid w:val="006331BD"/>
    <w:rsid w:val="0063458A"/>
    <w:rsid w:val="006361E2"/>
    <w:rsid w:val="00636D7F"/>
    <w:rsid w:val="00637B60"/>
    <w:rsid w:val="0064222E"/>
    <w:rsid w:val="0064462E"/>
    <w:rsid w:val="006460FE"/>
    <w:rsid w:val="006462F4"/>
    <w:rsid w:val="00651B24"/>
    <w:rsid w:val="006528D1"/>
    <w:rsid w:val="00652C9A"/>
    <w:rsid w:val="00654BF3"/>
    <w:rsid w:val="0065594C"/>
    <w:rsid w:val="006567ED"/>
    <w:rsid w:val="006569B6"/>
    <w:rsid w:val="006569E0"/>
    <w:rsid w:val="00656D55"/>
    <w:rsid w:val="00657C12"/>
    <w:rsid w:val="00657D68"/>
    <w:rsid w:val="00664563"/>
    <w:rsid w:val="00675016"/>
    <w:rsid w:val="00675F93"/>
    <w:rsid w:val="00677A32"/>
    <w:rsid w:val="00680DB8"/>
    <w:rsid w:val="00680E72"/>
    <w:rsid w:val="0068224E"/>
    <w:rsid w:val="006837E8"/>
    <w:rsid w:val="00685571"/>
    <w:rsid w:val="00686AF2"/>
    <w:rsid w:val="00686C05"/>
    <w:rsid w:val="00690298"/>
    <w:rsid w:val="00690DD2"/>
    <w:rsid w:val="00691499"/>
    <w:rsid w:val="00692578"/>
    <w:rsid w:val="00692AE8"/>
    <w:rsid w:val="006936D9"/>
    <w:rsid w:val="00694265"/>
    <w:rsid w:val="00694FA6"/>
    <w:rsid w:val="0069624F"/>
    <w:rsid w:val="006A5D73"/>
    <w:rsid w:val="006A6D50"/>
    <w:rsid w:val="006B359F"/>
    <w:rsid w:val="006C2336"/>
    <w:rsid w:val="006C454B"/>
    <w:rsid w:val="006C4888"/>
    <w:rsid w:val="006C54A8"/>
    <w:rsid w:val="006C63E2"/>
    <w:rsid w:val="006C7E35"/>
    <w:rsid w:val="006D1D06"/>
    <w:rsid w:val="006D3EA1"/>
    <w:rsid w:val="006D5B24"/>
    <w:rsid w:val="006D6C25"/>
    <w:rsid w:val="006E03D7"/>
    <w:rsid w:val="006E13A2"/>
    <w:rsid w:val="006E3A19"/>
    <w:rsid w:val="006E3C8C"/>
    <w:rsid w:val="006E684C"/>
    <w:rsid w:val="006E6C7E"/>
    <w:rsid w:val="006F1752"/>
    <w:rsid w:val="006F213C"/>
    <w:rsid w:val="006F5C70"/>
    <w:rsid w:val="006F6137"/>
    <w:rsid w:val="006F73FF"/>
    <w:rsid w:val="00702D76"/>
    <w:rsid w:val="00705A56"/>
    <w:rsid w:val="00706136"/>
    <w:rsid w:val="00711E8E"/>
    <w:rsid w:val="00716FCE"/>
    <w:rsid w:val="00717323"/>
    <w:rsid w:val="00717802"/>
    <w:rsid w:val="007216AE"/>
    <w:rsid w:val="00721D34"/>
    <w:rsid w:val="007232C4"/>
    <w:rsid w:val="00723935"/>
    <w:rsid w:val="007248CF"/>
    <w:rsid w:val="00725938"/>
    <w:rsid w:val="00725A2D"/>
    <w:rsid w:val="0072605B"/>
    <w:rsid w:val="00726552"/>
    <w:rsid w:val="007267F7"/>
    <w:rsid w:val="00727347"/>
    <w:rsid w:val="007323DE"/>
    <w:rsid w:val="00733F79"/>
    <w:rsid w:val="007340A1"/>
    <w:rsid w:val="00734AE8"/>
    <w:rsid w:val="00735504"/>
    <w:rsid w:val="0073589B"/>
    <w:rsid w:val="00735E58"/>
    <w:rsid w:val="00737506"/>
    <w:rsid w:val="007401FE"/>
    <w:rsid w:val="0074339E"/>
    <w:rsid w:val="007436E8"/>
    <w:rsid w:val="00744113"/>
    <w:rsid w:val="007447CE"/>
    <w:rsid w:val="007449B2"/>
    <w:rsid w:val="00744E52"/>
    <w:rsid w:val="007511E7"/>
    <w:rsid w:val="00752ABB"/>
    <w:rsid w:val="007613CB"/>
    <w:rsid w:val="00763CF4"/>
    <w:rsid w:val="00763CFC"/>
    <w:rsid w:val="00765067"/>
    <w:rsid w:val="00765F5F"/>
    <w:rsid w:val="007707D6"/>
    <w:rsid w:val="00771A8D"/>
    <w:rsid w:val="00773503"/>
    <w:rsid w:val="00773AE8"/>
    <w:rsid w:val="00774208"/>
    <w:rsid w:val="0077663E"/>
    <w:rsid w:val="0077692A"/>
    <w:rsid w:val="00776A67"/>
    <w:rsid w:val="0077773F"/>
    <w:rsid w:val="0078244F"/>
    <w:rsid w:val="007826FF"/>
    <w:rsid w:val="007831A7"/>
    <w:rsid w:val="00783997"/>
    <w:rsid w:val="007851DB"/>
    <w:rsid w:val="007867D9"/>
    <w:rsid w:val="007919C2"/>
    <w:rsid w:val="00792C87"/>
    <w:rsid w:val="0079492A"/>
    <w:rsid w:val="007953F6"/>
    <w:rsid w:val="0079664E"/>
    <w:rsid w:val="007A036A"/>
    <w:rsid w:val="007A16DE"/>
    <w:rsid w:val="007A6053"/>
    <w:rsid w:val="007A6885"/>
    <w:rsid w:val="007B0C2B"/>
    <w:rsid w:val="007B16D4"/>
    <w:rsid w:val="007B1E83"/>
    <w:rsid w:val="007B1ED7"/>
    <w:rsid w:val="007B276B"/>
    <w:rsid w:val="007B3477"/>
    <w:rsid w:val="007B3485"/>
    <w:rsid w:val="007B5285"/>
    <w:rsid w:val="007B62B2"/>
    <w:rsid w:val="007B632A"/>
    <w:rsid w:val="007B7433"/>
    <w:rsid w:val="007C72CC"/>
    <w:rsid w:val="007C7C3C"/>
    <w:rsid w:val="007D10EA"/>
    <w:rsid w:val="007D2129"/>
    <w:rsid w:val="007D3B45"/>
    <w:rsid w:val="007D4D94"/>
    <w:rsid w:val="007D71FE"/>
    <w:rsid w:val="007E119A"/>
    <w:rsid w:val="007E1714"/>
    <w:rsid w:val="007E29CF"/>
    <w:rsid w:val="007E3667"/>
    <w:rsid w:val="007E514C"/>
    <w:rsid w:val="007F55EB"/>
    <w:rsid w:val="007F5887"/>
    <w:rsid w:val="00800BEE"/>
    <w:rsid w:val="00800E3C"/>
    <w:rsid w:val="00800ED6"/>
    <w:rsid w:val="00803796"/>
    <w:rsid w:val="00804576"/>
    <w:rsid w:val="00807FB2"/>
    <w:rsid w:val="008132B5"/>
    <w:rsid w:val="0081449B"/>
    <w:rsid w:val="008144E9"/>
    <w:rsid w:val="00815E0D"/>
    <w:rsid w:val="008160BA"/>
    <w:rsid w:val="00821820"/>
    <w:rsid w:val="00821C50"/>
    <w:rsid w:val="00823955"/>
    <w:rsid w:val="00824035"/>
    <w:rsid w:val="00824347"/>
    <w:rsid w:val="008255E6"/>
    <w:rsid w:val="00830630"/>
    <w:rsid w:val="00831215"/>
    <w:rsid w:val="00831B71"/>
    <w:rsid w:val="00837081"/>
    <w:rsid w:val="00840370"/>
    <w:rsid w:val="00840B71"/>
    <w:rsid w:val="008414AD"/>
    <w:rsid w:val="0084186D"/>
    <w:rsid w:val="00845FE2"/>
    <w:rsid w:val="008466D6"/>
    <w:rsid w:val="00847213"/>
    <w:rsid w:val="00851175"/>
    <w:rsid w:val="00851987"/>
    <w:rsid w:val="008538D8"/>
    <w:rsid w:val="00857949"/>
    <w:rsid w:val="00860283"/>
    <w:rsid w:val="00860766"/>
    <w:rsid w:val="00860AA5"/>
    <w:rsid w:val="00860B23"/>
    <w:rsid w:val="00861F9A"/>
    <w:rsid w:val="00865046"/>
    <w:rsid w:val="00866E47"/>
    <w:rsid w:val="008707D1"/>
    <w:rsid w:val="008724D4"/>
    <w:rsid w:val="00875127"/>
    <w:rsid w:val="00886F9B"/>
    <w:rsid w:val="008871C2"/>
    <w:rsid w:val="00890572"/>
    <w:rsid w:val="00891075"/>
    <w:rsid w:val="00894D16"/>
    <w:rsid w:val="0089664B"/>
    <w:rsid w:val="008A3F18"/>
    <w:rsid w:val="008A54AF"/>
    <w:rsid w:val="008A6318"/>
    <w:rsid w:val="008A6964"/>
    <w:rsid w:val="008A76DE"/>
    <w:rsid w:val="008B098A"/>
    <w:rsid w:val="008B2CC0"/>
    <w:rsid w:val="008B3442"/>
    <w:rsid w:val="008B3B28"/>
    <w:rsid w:val="008B4AF0"/>
    <w:rsid w:val="008B6B18"/>
    <w:rsid w:val="008C46D0"/>
    <w:rsid w:val="008C56AF"/>
    <w:rsid w:val="008C7958"/>
    <w:rsid w:val="008D193D"/>
    <w:rsid w:val="008D401C"/>
    <w:rsid w:val="008D4F28"/>
    <w:rsid w:val="008D6F37"/>
    <w:rsid w:val="008E11E3"/>
    <w:rsid w:val="008E134C"/>
    <w:rsid w:val="008E1FDB"/>
    <w:rsid w:val="008E2346"/>
    <w:rsid w:val="008E323E"/>
    <w:rsid w:val="008E363F"/>
    <w:rsid w:val="008F1147"/>
    <w:rsid w:val="008F2FC3"/>
    <w:rsid w:val="008F3FC8"/>
    <w:rsid w:val="008F540B"/>
    <w:rsid w:val="008F5EA2"/>
    <w:rsid w:val="00904E82"/>
    <w:rsid w:val="009067AD"/>
    <w:rsid w:val="00912E31"/>
    <w:rsid w:val="0091486F"/>
    <w:rsid w:val="009149C3"/>
    <w:rsid w:val="00914A87"/>
    <w:rsid w:val="009158E0"/>
    <w:rsid w:val="00916C90"/>
    <w:rsid w:val="0092061A"/>
    <w:rsid w:val="00920AEE"/>
    <w:rsid w:val="00920D46"/>
    <w:rsid w:val="00922A9F"/>
    <w:rsid w:val="00923854"/>
    <w:rsid w:val="00925BF2"/>
    <w:rsid w:val="00931621"/>
    <w:rsid w:val="00934E12"/>
    <w:rsid w:val="00940332"/>
    <w:rsid w:val="00940846"/>
    <w:rsid w:val="009414D8"/>
    <w:rsid w:val="009468C8"/>
    <w:rsid w:val="00947ED0"/>
    <w:rsid w:val="00951B6E"/>
    <w:rsid w:val="009521AF"/>
    <w:rsid w:val="0095260D"/>
    <w:rsid w:val="0095421B"/>
    <w:rsid w:val="00955DFF"/>
    <w:rsid w:val="009662B5"/>
    <w:rsid w:val="00966C65"/>
    <w:rsid w:val="0097027E"/>
    <w:rsid w:val="00975DD0"/>
    <w:rsid w:val="009768D8"/>
    <w:rsid w:val="00982657"/>
    <w:rsid w:val="00982E1B"/>
    <w:rsid w:val="0098339C"/>
    <w:rsid w:val="00985184"/>
    <w:rsid w:val="0098542C"/>
    <w:rsid w:val="009862E6"/>
    <w:rsid w:val="00986D10"/>
    <w:rsid w:val="00992481"/>
    <w:rsid w:val="00992B3C"/>
    <w:rsid w:val="00994534"/>
    <w:rsid w:val="00995237"/>
    <w:rsid w:val="009977AD"/>
    <w:rsid w:val="009A03CF"/>
    <w:rsid w:val="009A3E3F"/>
    <w:rsid w:val="009A50F7"/>
    <w:rsid w:val="009A59AF"/>
    <w:rsid w:val="009A621B"/>
    <w:rsid w:val="009B0197"/>
    <w:rsid w:val="009B0966"/>
    <w:rsid w:val="009B399D"/>
    <w:rsid w:val="009B5DB4"/>
    <w:rsid w:val="009B773C"/>
    <w:rsid w:val="009C0D3D"/>
    <w:rsid w:val="009C13C4"/>
    <w:rsid w:val="009C26B9"/>
    <w:rsid w:val="009C3AC9"/>
    <w:rsid w:val="009C7AD5"/>
    <w:rsid w:val="009D0151"/>
    <w:rsid w:val="009D10FF"/>
    <w:rsid w:val="009D1CE5"/>
    <w:rsid w:val="009D1D93"/>
    <w:rsid w:val="009D3AE6"/>
    <w:rsid w:val="009D5433"/>
    <w:rsid w:val="009D69B8"/>
    <w:rsid w:val="009D6CF3"/>
    <w:rsid w:val="009D7D86"/>
    <w:rsid w:val="009E0C36"/>
    <w:rsid w:val="009E454F"/>
    <w:rsid w:val="009F1457"/>
    <w:rsid w:val="009F2682"/>
    <w:rsid w:val="009F2C7E"/>
    <w:rsid w:val="009F4A29"/>
    <w:rsid w:val="009F5B52"/>
    <w:rsid w:val="00A054FF"/>
    <w:rsid w:val="00A11167"/>
    <w:rsid w:val="00A115DB"/>
    <w:rsid w:val="00A1330D"/>
    <w:rsid w:val="00A13726"/>
    <w:rsid w:val="00A15978"/>
    <w:rsid w:val="00A15F79"/>
    <w:rsid w:val="00A17AAB"/>
    <w:rsid w:val="00A22E85"/>
    <w:rsid w:val="00A22F9E"/>
    <w:rsid w:val="00A257AE"/>
    <w:rsid w:val="00A262FA"/>
    <w:rsid w:val="00A302F0"/>
    <w:rsid w:val="00A30A54"/>
    <w:rsid w:val="00A3313E"/>
    <w:rsid w:val="00A37B88"/>
    <w:rsid w:val="00A4224E"/>
    <w:rsid w:val="00A4306D"/>
    <w:rsid w:val="00A439DD"/>
    <w:rsid w:val="00A4554F"/>
    <w:rsid w:val="00A4697B"/>
    <w:rsid w:val="00A47420"/>
    <w:rsid w:val="00A504E0"/>
    <w:rsid w:val="00A50F15"/>
    <w:rsid w:val="00A52610"/>
    <w:rsid w:val="00A53635"/>
    <w:rsid w:val="00A53807"/>
    <w:rsid w:val="00A544DE"/>
    <w:rsid w:val="00A546C6"/>
    <w:rsid w:val="00A55594"/>
    <w:rsid w:val="00A55B7A"/>
    <w:rsid w:val="00A609E1"/>
    <w:rsid w:val="00A60FA7"/>
    <w:rsid w:val="00A610C4"/>
    <w:rsid w:val="00A61157"/>
    <w:rsid w:val="00A617F5"/>
    <w:rsid w:val="00A624B8"/>
    <w:rsid w:val="00A62E69"/>
    <w:rsid w:val="00A634D9"/>
    <w:rsid w:val="00A64F9E"/>
    <w:rsid w:val="00A652B9"/>
    <w:rsid w:val="00A66B4E"/>
    <w:rsid w:val="00A7091D"/>
    <w:rsid w:val="00A71A75"/>
    <w:rsid w:val="00A741F2"/>
    <w:rsid w:val="00A74E3D"/>
    <w:rsid w:val="00A76705"/>
    <w:rsid w:val="00A77062"/>
    <w:rsid w:val="00A810E0"/>
    <w:rsid w:val="00A81518"/>
    <w:rsid w:val="00A81712"/>
    <w:rsid w:val="00A82C36"/>
    <w:rsid w:val="00A83052"/>
    <w:rsid w:val="00A84EA2"/>
    <w:rsid w:val="00A85385"/>
    <w:rsid w:val="00A864AA"/>
    <w:rsid w:val="00A911B0"/>
    <w:rsid w:val="00A92E27"/>
    <w:rsid w:val="00A9605E"/>
    <w:rsid w:val="00A96F24"/>
    <w:rsid w:val="00A97662"/>
    <w:rsid w:val="00A97DBE"/>
    <w:rsid w:val="00AA0A0D"/>
    <w:rsid w:val="00AA105E"/>
    <w:rsid w:val="00AA2D4E"/>
    <w:rsid w:val="00AA47BD"/>
    <w:rsid w:val="00AA595C"/>
    <w:rsid w:val="00AA689E"/>
    <w:rsid w:val="00AA7684"/>
    <w:rsid w:val="00AA7767"/>
    <w:rsid w:val="00AB17DE"/>
    <w:rsid w:val="00AB1CCA"/>
    <w:rsid w:val="00AB2771"/>
    <w:rsid w:val="00AB3235"/>
    <w:rsid w:val="00AB3754"/>
    <w:rsid w:val="00AB6EB9"/>
    <w:rsid w:val="00AB7087"/>
    <w:rsid w:val="00AC3497"/>
    <w:rsid w:val="00AC4ADC"/>
    <w:rsid w:val="00AC68AF"/>
    <w:rsid w:val="00AD1C05"/>
    <w:rsid w:val="00AD34AE"/>
    <w:rsid w:val="00AD3EE3"/>
    <w:rsid w:val="00AD47D8"/>
    <w:rsid w:val="00AD5A54"/>
    <w:rsid w:val="00AD736E"/>
    <w:rsid w:val="00AE3532"/>
    <w:rsid w:val="00AE72DA"/>
    <w:rsid w:val="00AF0EE1"/>
    <w:rsid w:val="00AF48A7"/>
    <w:rsid w:val="00AF56EE"/>
    <w:rsid w:val="00AF68C8"/>
    <w:rsid w:val="00B0169C"/>
    <w:rsid w:val="00B02E0D"/>
    <w:rsid w:val="00B02F7A"/>
    <w:rsid w:val="00B03D92"/>
    <w:rsid w:val="00B04832"/>
    <w:rsid w:val="00B11410"/>
    <w:rsid w:val="00B11BF3"/>
    <w:rsid w:val="00B1421F"/>
    <w:rsid w:val="00B15692"/>
    <w:rsid w:val="00B1572E"/>
    <w:rsid w:val="00B22F60"/>
    <w:rsid w:val="00B241F6"/>
    <w:rsid w:val="00B27332"/>
    <w:rsid w:val="00B344B6"/>
    <w:rsid w:val="00B3620B"/>
    <w:rsid w:val="00B36F68"/>
    <w:rsid w:val="00B403FD"/>
    <w:rsid w:val="00B412D6"/>
    <w:rsid w:val="00B42F55"/>
    <w:rsid w:val="00B46052"/>
    <w:rsid w:val="00B47028"/>
    <w:rsid w:val="00B47D68"/>
    <w:rsid w:val="00B50B48"/>
    <w:rsid w:val="00B51263"/>
    <w:rsid w:val="00B53DCE"/>
    <w:rsid w:val="00B54568"/>
    <w:rsid w:val="00B60918"/>
    <w:rsid w:val="00B61D46"/>
    <w:rsid w:val="00B6252C"/>
    <w:rsid w:val="00B6305C"/>
    <w:rsid w:val="00B64148"/>
    <w:rsid w:val="00B674AE"/>
    <w:rsid w:val="00B71D11"/>
    <w:rsid w:val="00B729EC"/>
    <w:rsid w:val="00B72A59"/>
    <w:rsid w:val="00B768B0"/>
    <w:rsid w:val="00B87E31"/>
    <w:rsid w:val="00B9355D"/>
    <w:rsid w:val="00B93625"/>
    <w:rsid w:val="00B93A92"/>
    <w:rsid w:val="00B961F4"/>
    <w:rsid w:val="00B96552"/>
    <w:rsid w:val="00B97EE1"/>
    <w:rsid w:val="00BA3EB0"/>
    <w:rsid w:val="00BA47A2"/>
    <w:rsid w:val="00BB2104"/>
    <w:rsid w:val="00BB33BE"/>
    <w:rsid w:val="00BB5366"/>
    <w:rsid w:val="00BC104C"/>
    <w:rsid w:val="00BC17AD"/>
    <w:rsid w:val="00BC2371"/>
    <w:rsid w:val="00BC2C1D"/>
    <w:rsid w:val="00BC54B8"/>
    <w:rsid w:val="00BC6C3A"/>
    <w:rsid w:val="00BC7075"/>
    <w:rsid w:val="00BD4952"/>
    <w:rsid w:val="00BD6B3A"/>
    <w:rsid w:val="00BD76B1"/>
    <w:rsid w:val="00BD77C1"/>
    <w:rsid w:val="00BE5336"/>
    <w:rsid w:val="00BE7038"/>
    <w:rsid w:val="00BE7291"/>
    <w:rsid w:val="00BE787C"/>
    <w:rsid w:val="00BF0546"/>
    <w:rsid w:val="00BF093E"/>
    <w:rsid w:val="00BF0B4D"/>
    <w:rsid w:val="00BF15CA"/>
    <w:rsid w:val="00BF78C0"/>
    <w:rsid w:val="00C01420"/>
    <w:rsid w:val="00C01489"/>
    <w:rsid w:val="00C01866"/>
    <w:rsid w:val="00C03175"/>
    <w:rsid w:val="00C05F6D"/>
    <w:rsid w:val="00C05F91"/>
    <w:rsid w:val="00C13D99"/>
    <w:rsid w:val="00C1620C"/>
    <w:rsid w:val="00C2093D"/>
    <w:rsid w:val="00C24672"/>
    <w:rsid w:val="00C248FF"/>
    <w:rsid w:val="00C25452"/>
    <w:rsid w:val="00C258E8"/>
    <w:rsid w:val="00C26653"/>
    <w:rsid w:val="00C320E6"/>
    <w:rsid w:val="00C32783"/>
    <w:rsid w:val="00C343D9"/>
    <w:rsid w:val="00C36AE8"/>
    <w:rsid w:val="00C42B0B"/>
    <w:rsid w:val="00C44081"/>
    <w:rsid w:val="00C45FC2"/>
    <w:rsid w:val="00C46536"/>
    <w:rsid w:val="00C47933"/>
    <w:rsid w:val="00C50BC3"/>
    <w:rsid w:val="00C5106B"/>
    <w:rsid w:val="00C52370"/>
    <w:rsid w:val="00C535B6"/>
    <w:rsid w:val="00C554DA"/>
    <w:rsid w:val="00C62479"/>
    <w:rsid w:val="00C6371A"/>
    <w:rsid w:val="00C64973"/>
    <w:rsid w:val="00C67426"/>
    <w:rsid w:val="00C71792"/>
    <w:rsid w:val="00C71DEB"/>
    <w:rsid w:val="00C72143"/>
    <w:rsid w:val="00C744FC"/>
    <w:rsid w:val="00C758DA"/>
    <w:rsid w:val="00C80DF2"/>
    <w:rsid w:val="00C813BF"/>
    <w:rsid w:val="00C827F9"/>
    <w:rsid w:val="00C82F43"/>
    <w:rsid w:val="00C8336B"/>
    <w:rsid w:val="00C86BEC"/>
    <w:rsid w:val="00C87465"/>
    <w:rsid w:val="00C87716"/>
    <w:rsid w:val="00C87C20"/>
    <w:rsid w:val="00C90315"/>
    <w:rsid w:val="00C913E6"/>
    <w:rsid w:val="00C93420"/>
    <w:rsid w:val="00C93E3A"/>
    <w:rsid w:val="00C956A3"/>
    <w:rsid w:val="00CA1023"/>
    <w:rsid w:val="00CA170E"/>
    <w:rsid w:val="00CA3E2B"/>
    <w:rsid w:val="00CA486C"/>
    <w:rsid w:val="00CA6FB5"/>
    <w:rsid w:val="00CA7C26"/>
    <w:rsid w:val="00CB1313"/>
    <w:rsid w:val="00CB16B1"/>
    <w:rsid w:val="00CB5476"/>
    <w:rsid w:val="00CB58A8"/>
    <w:rsid w:val="00CB7B90"/>
    <w:rsid w:val="00CC08B6"/>
    <w:rsid w:val="00CC1289"/>
    <w:rsid w:val="00CC505F"/>
    <w:rsid w:val="00CC5C8E"/>
    <w:rsid w:val="00CC60B9"/>
    <w:rsid w:val="00CC6987"/>
    <w:rsid w:val="00CD1327"/>
    <w:rsid w:val="00CD3145"/>
    <w:rsid w:val="00CD787E"/>
    <w:rsid w:val="00CE059D"/>
    <w:rsid w:val="00CE221D"/>
    <w:rsid w:val="00CE3674"/>
    <w:rsid w:val="00CE5625"/>
    <w:rsid w:val="00CE67F6"/>
    <w:rsid w:val="00CE75F2"/>
    <w:rsid w:val="00CF0203"/>
    <w:rsid w:val="00CF042D"/>
    <w:rsid w:val="00CF38F6"/>
    <w:rsid w:val="00CF41FA"/>
    <w:rsid w:val="00CF5949"/>
    <w:rsid w:val="00CF612B"/>
    <w:rsid w:val="00D02E7A"/>
    <w:rsid w:val="00D04F7E"/>
    <w:rsid w:val="00D10ECC"/>
    <w:rsid w:val="00D130C0"/>
    <w:rsid w:val="00D13DE6"/>
    <w:rsid w:val="00D14AF9"/>
    <w:rsid w:val="00D15EF5"/>
    <w:rsid w:val="00D165D2"/>
    <w:rsid w:val="00D24016"/>
    <w:rsid w:val="00D26386"/>
    <w:rsid w:val="00D26998"/>
    <w:rsid w:val="00D26B6F"/>
    <w:rsid w:val="00D3026F"/>
    <w:rsid w:val="00D30F58"/>
    <w:rsid w:val="00D31004"/>
    <w:rsid w:val="00D31842"/>
    <w:rsid w:val="00D32693"/>
    <w:rsid w:val="00D32842"/>
    <w:rsid w:val="00D33C9B"/>
    <w:rsid w:val="00D429F8"/>
    <w:rsid w:val="00D512FD"/>
    <w:rsid w:val="00D539F6"/>
    <w:rsid w:val="00D5429E"/>
    <w:rsid w:val="00D54C43"/>
    <w:rsid w:val="00D57284"/>
    <w:rsid w:val="00D574A1"/>
    <w:rsid w:val="00D6183E"/>
    <w:rsid w:val="00D61C0E"/>
    <w:rsid w:val="00D65B2E"/>
    <w:rsid w:val="00D67AE1"/>
    <w:rsid w:val="00D67D09"/>
    <w:rsid w:val="00D71084"/>
    <w:rsid w:val="00D71965"/>
    <w:rsid w:val="00D719CB"/>
    <w:rsid w:val="00D733A5"/>
    <w:rsid w:val="00D733F7"/>
    <w:rsid w:val="00D74052"/>
    <w:rsid w:val="00D74680"/>
    <w:rsid w:val="00D7547E"/>
    <w:rsid w:val="00D75DBC"/>
    <w:rsid w:val="00D76816"/>
    <w:rsid w:val="00D802DD"/>
    <w:rsid w:val="00D81473"/>
    <w:rsid w:val="00D8274D"/>
    <w:rsid w:val="00D83DFD"/>
    <w:rsid w:val="00D865BB"/>
    <w:rsid w:val="00D87239"/>
    <w:rsid w:val="00D878C1"/>
    <w:rsid w:val="00D90430"/>
    <w:rsid w:val="00D90F8B"/>
    <w:rsid w:val="00D912E6"/>
    <w:rsid w:val="00D93895"/>
    <w:rsid w:val="00D949FA"/>
    <w:rsid w:val="00D97A7F"/>
    <w:rsid w:val="00DA225E"/>
    <w:rsid w:val="00DA2403"/>
    <w:rsid w:val="00DA327E"/>
    <w:rsid w:val="00DA4D13"/>
    <w:rsid w:val="00DA58C7"/>
    <w:rsid w:val="00DA66AD"/>
    <w:rsid w:val="00DB15E9"/>
    <w:rsid w:val="00DB327B"/>
    <w:rsid w:val="00DB4DE5"/>
    <w:rsid w:val="00DB5CB9"/>
    <w:rsid w:val="00DB7617"/>
    <w:rsid w:val="00DC089D"/>
    <w:rsid w:val="00DC1DD6"/>
    <w:rsid w:val="00DC295F"/>
    <w:rsid w:val="00DC4622"/>
    <w:rsid w:val="00DC5172"/>
    <w:rsid w:val="00DC6114"/>
    <w:rsid w:val="00DC6940"/>
    <w:rsid w:val="00DC6D41"/>
    <w:rsid w:val="00DD1966"/>
    <w:rsid w:val="00DD1FE2"/>
    <w:rsid w:val="00DD2092"/>
    <w:rsid w:val="00DD2CAC"/>
    <w:rsid w:val="00DD2DB4"/>
    <w:rsid w:val="00DD380E"/>
    <w:rsid w:val="00DD4087"/>
    <w:rsid w:val="00DD4693"/>
    <w:rsid w:val="00DD5EC6"/>
    <w:rsid w:val="00DD6DBA"/>
    <w:rsid w:val="00DE0F29"/>
    <w:rsid w:val="00DE1A2C"/>
    <w:rsid w:val="00DE1B87"/>
    <w:rsid w:val="00DE27D3"/>
    <w:rsid w:val="00DE314E"/>
    <w:rsid w:val="00DE35F1"/>
    <w:rsid w:val="00DE3F91"/>
    <w:rsid w:val="00DE5925"/>
    <w:rsid w:val="00DF027A"/>
    <w:rsid w:val="00DF20DB"/>
    <w:rsid w:val="00DF4C42"/>
    <w:rsid w:val="00DF5EBD"/>
    <w:rsid w:val="00DF72C3"/>
    <w:rsid w:val="00E00610"/>
    <w:rsid w:val="00E03017"/>
    <w:rsid w:val="00E04323"/>
    <w:rsid w:val="00E07315"/>
    <w:rsid w:val="00E10DC4"/>
    <w:rsid w:val="00E113F9"/>
    <w:rsid w:val="00E11611"/>
    <w:rsid w:val="00E15E76"/>
    <w:rsid w:val="00E15ED1"/>
    <w:rsid w:val="00E20744"/>
    <w:rsid w:val="00E21B33"/>
    <w:rsid w:val="00E32283"/>
    <w:rsid w:val="00E33BA6"/>
    <w:rsid w:val="00E344BB"/>
    <w:rsid w:val="00E35B3F"/>
    <w:rsid w:val="00E364A8"/>
    <w:rsid w:val="00E3684F"/>
    <w:rsid w:val="00E41578"/>
    <w:rsid w:val="00E41FE5"/>
    <w:rsid w:val="00E43A8F"/>
    <w:rsid w:val="00E4548E"/>
    <w:rsid w:val="00E46FCF"/>
    <w:rsid w:val="00E4792A"/>
    <w:rsid w:val="00E524F1"/>
    <w:rsid w:val="00E52766"/>
    <w:rsid w:val="00E53923"/>
    <w:rsid w:val="00E53A7B"/>
    <w:rsid w:val="00E548E5"/>
    <w:rsid w:val="00E54F91"/>
    <w:rsid w:val="00E57474"/>
    <w:rsid w:val="00E62F09"/>
    <w:rsid w:val="00E6437A"/>
    <w:rsid w:val="00E65486"/>
    <w:rsid w:val="00E66E2C"/>
    <w:rsid w:val="00E714C5"/>
    <w:rsid w:val="00E74776"/>
    <w:rsid w:val="00E75254"/>
    <w:rsid w:val="00E75EA7"/>
    <w:rsid w:val="00E76D99"/>
    <w:rsid w:val="00E80934"/>
    <w:rsid w:val="00E820E9"/>
    <w:rsid w:val="00E845D0"/>
    <w:rsid w:val="00E84813"/>
    <w:rsid w:val="00E84A10"/>
    <w:rsid w:val="00E86346"/>
    <w:rsid w:val="00E8781E"/>
    <w:rsid w:val="00E91C94"/>
    <w:rsid w:val="00E9624D"/>
    <w:rsid w:val="00E9738F"/>
    <w:rsid w:val="00E977E4"/>
    <w:rsid w:val="00EA608A"/>
    <w:rsid w:val="00EB1517"/>
    <w:rsid w:val="00EB4A73"/>
    <w:rsid w:val="00EB6D08"/>
    <w:rsid w:val="00EC127F"/>
    <w:rsid w:val="00EC38F9"/>
    <w:rsid w:val="00EC58BC"/>
    <w:rsid w:val="00EC59EA"/>
    <w:rsid w:val="00EC60CA"/>
    <w:rsid w:val="00ED336D"/>
    <w:rsid w:val="00ED4D1B"/>
    <w:rsid w:val="00ED5884"/>
    <w:rsid w:val="00ED68DD"/>
    <w:rsid w:val="00ED7BD9"/>
    <w:rsid w:val="00EE0A6B"/>
    <w:rsid w:val="00EE36B8"/>
    <w:rsid w:val="00EE3F4C"/>
    <w:rsid w:val="00EE46E5"/>
    <w:rsid w:val="00EE473E"/>
    <w:rsid w:val="00EE57FC"/>
    <w:rsid w:val="00EE5E98"/>
    <w:rsid w:val="00EF0EA3"/>
    <w:rsid w:val="00EF140C"/>
    <w:rsid w:val="00EF173D"/>
    <w:rsid w:val="00EF2419"/>
    <w:rsid w:val="00EF30A0"/>
    <w:rsid w:val="00F034E4"/>
    <w:rsid w:val="00F04F6B"/>
    <w:rsid w:val="00F05D67"/>
    <w:rsid w:val="00F06A2F"/>
    <w:rsid w:val="00F06A98"/>
    <w:rsid w:val="00F10305"/>
    <w:rsid w:val="00F1179D"/>
    <w:rsid w:val="00F119D1"/>
    <w:rsid w:val="00F12570"/>
    <w:rsid w:val="00F126AB"/>
    <w:rsid w:val="00F12F75"/>
    <w:rsid w:val="00F13993"/>
    <w:rsid w:val="00F17F66"/>
    <w:rsid w:val="00F25921"/>
    <w:rsid w:val="00F26B27"/>
    <w:rsid w:val="00F26FB0"/>
    <w:rsid w:val="00F272C6"/>
    <w:rsid w:val="00F30C5B"/>
    <w:rsid w:val="00F31E66"/>
    <w:rsid w:val="00F32EB2"/>
    <w:rsid w:val="00F40B22"/>
    <w:rsid w:val="00F4107A"/>
    <w:rsid w:val="00F45917"/>
    <w:rsid w:val="00F463A9"/>
    <w:rsid w:val="00F467F8"/>
    <w:rsid w:val="00F46B65"/>
    <w:rsid w:val="00F46FAD"/>
    <w:rsid w:val="00F46FBC"/>
    <w:rsid w:val="00F475D4"/>
    <w:rsid w:val="00F477DE"/>
    <w:rsid w:val="00F52CDD"/>
    <w:rsid w:val="00F537B5"/>
    <w:rsid w:val="00F57220"/>
    <w:rsid w:val="00F57485"/>
    <w:rsid w:val="00F57A59"/>
    <w:rsid w:val="00F6442C"/>
    <w:rsid w:val="00F64E5F"/>
    <w:rsid w:val="00F679EB"/>
    <w:rsid w:val="00F70235"/>
    <w:rsid w:val="00F7175D"/>
    <w:rsid w:val="00F7502C"/>
    <w:rsid w:val="00F77F3C"/>
    <w:rsid w:val="00F82DE9"/>
    <w:rsid w:val="00F83C7E"/>
    <w:rsid w:val="00F862CE"/>
    <w:rsid w:val="00F933D9"/>
    <w:rsid w:val="00F93CDD"/>
    <w:rsid w:val="00F94599"/>
    <w:rsid w:val="00F95C49"/>
    <w:rsid w:val="00F95EFC"/>
    <w:rsid w:val="00F97D0D"/>
    <w:rsid w:val="00FA035E"/>
    <w:rsid w:val="00FA07FE"/>
    <w:rsid w:val="00FA2AD7"/>
    <w:rsid w:val="00FA3F21"/>
    <w:rsid w:val="00FA4FE3"/>
    <w:rsid w:val="00FA69DE"/>
    <w:rsid w:val="00FA78B2"/>
    <w:rsid w:val="00FB05E5"/>
    <w:rsid w:val="00FB08F1"/>
    <w:rsid w:val="00FB1506"/>
    <w:rsid w:val="00FB17FD"/>
    <w:rsid w:val="00FB32F4"/>
    <w:rsid w:val="00FB53F5"/>
    <w:rsid w:val="00FC2662"/>
    <w:rsid w:val="00FC3FDF"/>
    <w:rsid w:val="00FC5BA0"/>
    <w:rsid w:val="00FC5F23"/>
    <w:rsid w:val="00FC7303"/>
    <w:rsid w:val="00FC79B0"/>
    <w:rsid w:val="00FD0005"/>
    <w:rsid w:val="00FD109E"/>
    <w:rsid w:val="00FD2B9A"/>
    <w:rsid w:val="00FD309F"/>
    <w:rsid w:val="00FD5254"/>
    <w:rsid w:val="00FD6369"/>
    <w:rsid w:val="00FD6CA7"/>
    <w:rsid w:val="00FE0BDA"/>
    <w:rsid w:val="00FE3838"/>
    <w:rsid w:val="00FE50C5"/>
    <w:rsid w:val="00FE7265"/>
    <w:rsid w:val="00FF1EDB"/>
    <w:rsid w:val="00FF279E"/>
    <w:rsid w:val="00FF4A0B"/>
    <w:rsid w:val="00FF5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09E2E"/>
  <w15:docId w15:val="{98529F8E-0C95-B845-993B-BA02B04C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Text"/>
    <w:qFormat/>
    <w:rsid w:val="00DE4939"/>
    <w:rPr>
      <w:rFonts w:asciiTheme="minorHAnsi" w:eastAsiaTheme="minorHAnsi" w:hAnsiTheme="minorHAnsi" w:cstheme="minorBidi"/>
      <w:kern w:val="2"/>
    </w:rPr>
  </w:style>
  <w:style w:type="paragraph" w:styleId="Heading1">
    <w:name w:val="heading 1"/>
    <w:basedOn w:val="SecHeadNonToc"/>
    <w:next w:val="Normal"/>
    <w:link w:val="Heading1Char"/>
    <w:uiPriority w:val="3"/>
    <w:qFormat/>
    <w:rsid w:val="003E2BDA"/>
    <w:pPr>
      <w:numPr>
        <w:numId w:val="1"/>
      </w:numPr>
      <w:outlineLvl w:val="0"/>
    </w:pPr>
    <w:rPr>
      <w:rFonts w:ascii="Arial" w:hAnsi="Arial"/>
      <w:caps/>
      <w:sz w:val="20"/>
    </w:rPr>
  </w:style>
  <w:style w:type="paragraph" w:styleId="Heading2">
    <w:name w:val="heading 2"/>
    <w:basedOn w:val="SubHead"/>
    <w:next w:val="Normal"/>
    <w:link w:val="Heading2Char"/>
    <w:uiPriority w:val="3"/>
    <w:unhideWhenUsed/>
    <w:qFormat/>
    <w:rsid w:val="003E2BDA"/>
    <w:pPr>
      <w:numPr>
        <w:ilvl w:val="1"/>
        <w:numId w:val="1"/>
      </w:numPr>
      <w:outlineLvl w:val="1"/>
    </w:pPr>
    <w:rPr>
      <w:sz w:val="18"/>
    </w:rPr>
  </w:style>
  <w:style w:type="paragraph" w:styleId="Heading3">
    <w:name w:val="heading 3"/>
    <w:basedOn w:val="SubHead"/>
    <w:next w:val="Normal"/>
    <w:link w:val="Heading3Char"/>
    <w:uiPriority w:val="4"/>
    <w:unhideWhenUsed/>
    <w:qFormat/>
    <w:rsid w:val="003E2BDA"/>
    <w:pPr>
      <w:numPr>
        <w:ilvl w:val="2"/>
        <w:numId w:val="1"/>
      </w:numPr>
      <w:outlineLvl w:val="2"/>
    </w:pPr>
    <w:rPr>
      <w:b w:val="0"/>
      <w:caps/>
      <w:sz w:val="22"/>
    </w:rPr>
  </w:style>
  <w:style w:type="paragraph" w:styleId="Heading4">
    <w:name w:val="heading 4"/>
    <w:aliases w:val="~Level4Heading"/>
    <w:basedOn w:val="SubHead"/>
    <w:next w:val="Normal"/>
    <w:link w:val="Heading4Char"/>
    <w:uiPriority w:val="5"/>
    <w:semiHidden/>
    <w:unhideWhenUsed/>
    <w:qFormat/>
    <w:rsid w:val="003E2BDA"/>
    <w:pPr>
      <w:spacing w:after="0"/>
      <w:outlineLvl w:val="3"/>
    </w:pPr>
    <w:rPr>
      <w:b w:val="0"/>
    </w:rPr>
  </w:style>
  <w:style w:type="paragraph" w:styleId="Heading5">
    <w:name w:val="heading 5"/>
    <w:basedOn w:val="SubHead"/>
    <w:next w:val="Normal"/>
    <w:link w:val="Heading5Char"/>
    <w:uiPriority w:val="5"/>
    <w:semiHidden/>
    <w:unhideWhenUsed/>
    <w:qFormat/>
    <w:rsid w:val="003E2BDA"/>
    <w:pPr>
      <w:keepLines/>
      <w:spacing w:after="0"/>
      <w:outlineLvl w:val="4"/>
    </w:pPr>
    <w:rPr>
      <w:rFonts w:eastAsiaTheme="majorEastAsia" w:cstheme="majorBidi"/>
      <w:b w:val="0"/>
    </w:rPr>
  </w:style>
  <w:style w:type="paragraph" w:styleId="Heading6">
    <w:name w:val="heading 6"/>
    <w:basedOn w:val="SubHead"/>
    <w:next w:val="Normal"/>
    <w:link w:val="Heading6Char"/>
    <w:uiPriority w:val="5"/>
    <w:semiHidden/>
    <w:unhideWhenUsed/>
    <w:qFormat/>
    <w:rsid w:val="003E2BDA"/>
    <w:pPr>
      <w:keepLines/>
      <w:spacing w:after="0"/>
      <w:outlineLvl w:val="5"/>
    </w:pPr>
    <w:rPr>
      <w:rFonts w:eastAsiaTheme="majorEastAsia" w:cstheme="majorBidi"/>
      <w:b w:val="0"/>
      <w:i/>
      <w:iCs/>
    </w:rPr>
  </w:style>
  <w:style w:type="paragraph" w:styleId="Heading7">
    <w:name w:val="heading 7"/>
    <w:basedOn w:val="SubHead"/>
    <w:next w:val="Normal"/>
    <w:link w:val="Heading7Char"/>
    <w:uiPriority w:val="5"/>
    <w:semiHidden/>
    <w:rsid w:val="003E2BDA"/>
    <w:pPr>
      <w:keepLines/>
      <w:spacing w:after="0"/>
      <w:outlineLvl w:val="6"/>
    </w:pPr>
    <w:rPr>
      <w:rFonts w:eastAsiaTheme="majorEastAsia" w:cstheme="majorBidi"/>
      <w:b w:val="0"/>
      <w:iCs/>
    </w:rPr>
  </w:style>
  <w:style w:type="paragraph" w:styleId="Heading8">
    <w:name w:val="heading 8"/>
    <w:basedOn w:val="Normal"/>
    <w:next w:val="Normal"/>
    <w:link w:val="Heading8Char"/>
    <w:uiPriority w:val="5"/>
    <w:semiHidden/>
    <w:rsid w:val="003E2BDA"/>
    <w:pPr>
      <w:keepNext/>
      <w:keepLines/>
      <w:spacing w:before="240"/>
      <w:outlineLvl w:val="7"/>
    </w:pPr>
    <w:rPr>
      <w:rFonts w:asciiTheme="majorHAnsi" w:eastAsiaTheme="majorEastAsia" w:hAnsiTheme="majorHAnsi" w:cstheme="majorBidi"/>
      <w:kern w:val="0"/>
      <w:sz w:val="22"/>
      <w:szCs w:val="22"/>
    </w:rPr>
  </w:style>
  <w:style w:type="paragraph" w:styleId="Heading9">
    <w:name w:val="heading 9"/>
    <w:basedOn w:val="Normal"/>
    <w:next w:val="Normal"/>
    <w:link w:val="Heading9Char"/>
    <w:uiPriority w:val="5"/>
    <w:semiHidden/>
    <w:rsid w:val="003E2BDA"/>
    <w:pPr>
      <w:keepNext/>
      <w:keepLines/>
      <w:spacing w:before="240"/>
      <w:outlineLvl w:val="8"/>
    </w:pPr>
    <w:rPr>
      <w:rFonts w:asciiTheme="majorHAnsi" w:eastAsiaTheme="majorEastAsia" w:hAnsiTheme="majorHAnsi" w:cstheme="majorBidi"/>
      <w:i/>
      <w:iCs/>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Avenir" w:eastAsiaTheme="minorEastAsia" w:hAnsi="Avenir" w:cs="Avenir"/>
      <w:b/>
      <w:kern w:val="0"/>
      <w:sz w:val="72"/>
      <w:szCs w:val="72"/>
    </w:rPr>
  </w:style>
  <w:style w:type="paragraph" w:customStyle="1" w:styleId="AppBodyTextNum">
    <w:name w:val="~AppBodyTextNum"/>
    <w:basedOn w:val="Normal"/>
    <w:uiPriority w:val="28"/>
    <w:semiHidden/>
    <w:rsid w:val="003E2BDA"/>
    <w:rPr>
      <w:rFonts w:ascii="Avenir" w:eastAsiaTheme="minorEastAsia" w:hAnsi="Avenir" w:cs="Avenir"/>
      <w:kern w:val="0"/>
      <w:sz w:val="22"/>
      <w:szCs w:val="22"/>
    </w:rPr>
  </w:style>
  <w:style w:type="paragraph" w:styleId="NoSpacing">
    <w:name w:val="No Spacing"/>
    <w:aliases w:val="~BaseStyle"/>
    <w:link w:val="NoSpacingChar"/>
    <w:uiPriority w:val="33"/>
    <w:rsid w:val="003E2BDA"/>
    <w:rPr>
      <w:rFonts w:cs="Arial"/>
      <w:lang w:val="en-GB"/>
    </w:rPr>
  </w:style>
  <w:style w:type="character" w:customStyle="1" w:styleId="NoSpacingChar">
    <w:name w:val="No Spacing Char"/>
    <w:aliases w:val="~BaseStyle Char"/>
    <w:basedOn w:val="DefaultParagraphFont"/>
    <w:link w:val="NoSpacing"/>
    <w:uiPriority w:val="33"/>
    <w:rsid w:val="003E2BDA"/>
    <w:rPr>
      <w:rFonts w:cs="Arial"/>
      <w:color w:val="000000" w:themeColor="text1"/>
      <w:sz w:val="20"/>
      <w:szCs w:val="20"/>
      <w:lang w:val="en-GB"/>
    </w:rPr>
  </w:style>
  <w:style w:type="paragraph" w:customStyle="1" w:styleId="SecHeadNonToc">
    <w:name w:val="~SecHeadNonToc"/>
    <w:basedOn w:val="NoSpacing"/>
    <w:next w:val="Normal"/>
    <w:uiPriority w:val="27"/>
    <w:semiHidden/>
    <w:qFormat/>
    <w:rsid w:val="003E2BDA"/>
    <w:pPr>
      <w:keepNext/>
      <w:spacing w:before="480" w:after="180"/>
    </w:pPr>
    <w:rPr>
      <w:rFonts w:asciiTheme="majorHAnsi" w:hAnsiTheme="majorHAnsi"/>
      <w:b/>
      <w:color w:val="4472C4" w:themeColor="accent1"/>
      <w:sz w:val="28"/>
    </w:rPr>
  </w:style>
  <w:style w:type="paragraph" w:customStyle="1" w:styleId="AppendixDivider">
    <w:name w:val="~AppendixDivider"/>
    <w:basedOn w:val="SecHeadNonToc"/>
    <w:next w:val="Normal"/>
    <w:uiPriority w:val="6"/>
    <w:semiHidden/>
    <w:rsid w:val="003E2BDA"/>
    <w:pPr>
      <w:outlineLvl w:val="0"/>
    </w:pPr>
  </w:style>
  <w:style w:type="paragraph" w:customStyle="1" w:styleId="AppHead">
    <w:name w:val="~AppHead"/>
    <w:basedOn w:val="SecHeadNonToc"/>
    <w:next w:val="Normal"/>
    <w:uiPriority w:val="7"/>
    <w:semiHidden/>
    <w:qFormat/>
    <w:rsid w:val="003E2BDA"/>
    <w:pPr>
      <w:tabs>
        <w:tab w:val="num" w:pos="720"/>
      </w:tabs>
      <w:spacing w:before="240"/>
      <w:ind w:left="720" w:hanging="720"/>
      <w:outlineLvl w:val="0"/>
    </w:pPr>
  </w:style>
  <w:style w:type="paragraph" w:customStyle="1" w:styleId="AppMinorSubHead">
    <w:name w:val="~AppMinorSubHead"/>
    <w:basedOn w:val="SecHeadNonToc"/>
    <w:next w:val="Normal"/>
    <w:uiPriority w:val="9"/>
    <w:semiHidden/>
    <w:qFormat/>
    <w:rsid w:val="003E2BDA"/>
    <w:pPr>
      <w:tabs>
        <w:tab w:val="num" w:pos="2160"/>
      </w:tabs>
      <w:ind w:left="2160" w:hanging="720"/>
      <w:outlineLvl w:val="2"/>
    </w:pPr>
    <w:rPr>
      <w:i/>
    </w:rPr>
  </w:style>
  <w:style w:type="paragraph" w:customStyle="1" w:styleId="AppSubHead">
    <w:name w:val="~AppSubHead"/>
    <w:basedOn w:val="SecHeadNonToc"/>
    <w:next w:val="Normal"/>
    <w:uiPriority w:val="8"/>
    <w:semiHidden/>
    <w:qFormat/>
    <w:rsid w:val="003E2BDA"/>
    <w:pPr>
      <w:tabs>
        <w:tab w:val="num" w:pos="1440"/>
      </w:tabs>
      <w:ind w:left="1440" w:hanging="720"/>
      <w:outlineLvl w:val="1"/>
    </w:pPr>
  </w:style>
  <w:style w:type="paragraph" w:customStyle="1" w:styleId="BodyHeading">
    <w:name w:val="~BodyHeading"/>
    <w:basedOn w:val="Normal"/>
    <w:next w:val="Normal"/>
    <w:uiPriority w:val="27"/>
    <w:rsid w:val="003E2BDA"/>
    <w:pPr>
      <w:keepNext/>
    </w:pPr>
    <w:rPr>
      <w:rFonts w:ascii="Avenir" w:eastAsiaTheme="minorEastAsia" w:hAnsi="Avenir" w:cs="Avenir"/>
      <w:b/>
      <w:kern w:val="0"/>
      <w:sz w:val="22"/>
      <w:szCs w:val="22"/>
    </w:rPr>
  </w:style>
  <w:style w:type="paragraph" w:customStyle="1" w:styleId="BodyTextNum">
    <w:name w:val="~BodyTextNum"/>
    <w:basedOn w:val="Normal"/>
    <w:uiPriority w:val="28"/>
    <w:semiHidden/>
    <w:rsid w:val="003E2BDA"/>
    <w:rPr>
      <w:rFonts w:ascii="Avenir" w:eastAsiaTheme="minorEastAsia" w:hAnsi="Avenir" w:cs="Avenir"/>
      <w:kern w:val="0"/>
      <w:sz w:val="22"/>
      <w:szCs w:val="22"/>
    </w:rPr>
  </w:style>
  <w:style w:type="paragraph" w:customStyle="1" w:styleId="Bullet1">
    <w:name w:val="~Bullet1"/>
    <w:basedOn w:val="Normal"/>
    <w:link w:val="Bullet1Char"/>
    <w:rsid w:val="003E2BDA"/>
    <w:pPr>
      <w:tabs>
        <w:tab w:val="num" w:pos="720"/>
      </w:tabs>
      <w:spacing w:before="60" w:after="60"/>
      <w:ind w:left="720" w:hanging="720"/>
    </w:pPr>
    <w:rPr>
      <w:rFonts w:ascii="Avenir" w:eastAsia="Calibri" w:hAnsi="Avenir" w:cs="Avenir"/>
      <w:kern w:val="0"/>
      <w:sz w:val="22"/>
      <w:szCs w:val="22"/>
    </w:rPr>
  </w:style>
  <w:style w:type="character" w:customStyle="1" w:styleId="Bullet1Char">
    <w:name w:val="~Bullet1 Char"/>
    <w:basedOn w:val="DefaultParagraphFont"/>
    <w:link w:val="Bullet1"/>
    <w:rsid w:val="003E2BDA"/>
    <w:rPr>
      <w:rFonts w:eastAsia="Calibri"/>
    </w:rPr>
  </w:style>
  <w:style w:type="paragraph" w:customStyle="1" w:styleId="Bullet2">
    <w:name w:val="~Bullet2"/>
    <w:basedOn w:val="Normal"/>
    <w:rsid w:val="003E2BDA"/>
    <w:pPr>
      <w:tabs>
        <w:tab w:val="num" w:pos="1440"/>
      </w:tabs>
      <w:spacing w:before="60" w:after="60"/>
      <w:ind w:left="1440" w:hanging="720"/>
    </w:pPr>
    <w:rPr>
      <w:rFonts w:ascii="Avenir" w:eastAsiaTheme="minorEastAsia" w:hAnsi="Avenir" w:cs="Avenir"/>
      <w:kern w:val="0"/>
      <w:sz w:val="22"/>
      <w:szCs w:val="22"/>
    </w:rPr>
  </w:style>
  <w:style w:type="paragraph" w:customStyle="1" w:styleId="Bullet3">
    <w:name w:val="~Bullet3"/>
    <w:basedOn w:val="Normal"/>
    <w:rsid w:val="003E2BDA"/>
    <w:pPr>
      <w:tabs>
        <w:tab w:val="num" w:pos="2160"/>
      </w:tabs>
      <w:spacing w:before="60" w:after="60"/>
      <w:ind w:left="2160" w:hanging="720"/>
    </w:pPr>
    <w:rPr>
      <w:rFonts w:ascii="Avenir" w:eastAsiaTheme="minorEastAsia" w:hAnsi="Avenir" w:cs="Avenir"/>
      <w:kern w:val="0"/>
      <w:sz w:val="22"/>
      <w:szCs w:val="22"/>
    </w:rPr>
  </w:style>
  <w:style w:type="paragraph" w:styleId="Caption">
    <w:name w:val="caption"/>
    <w:aliases w:val="Caption and sources"/>
    <w:basedOn w:val="BodyHeading"/>
    <w:next w:val="Normal"/>
    <w:link w:val="CaptionChar"/>
    <w:autoRedefine/>
    <w:uiPriority w:val="6"/>
    <w:qFormat/>
    <w:rsid w:val="003E2BDA"/>
    <w:pPr>
      <w:spacing w:after="60"/>
    </w:pPr>
    <w:rPr>
      <w:rFonts w:eastAsia="Calibri"/>
      <w:b w:val="0"/>
      <w:sz w:val="16"/>
    </w:rPr>
  </w:style>
  <w:style w:type="character" w:customStyle="1" w:styleId="CaptionChar">
    <w:name w:val="Caption Char"/>
    <w:aliases w:val="Caption and sources Char"/>
    <w:basedOn w:val="DefaultParagraphFont"/>
    <w:link w:val="Caption"/>
    <w:uiPriority w:val="6"/>
    <w:rsid w:val="003E2BDA"/>
    <w:rPr>
      <w:rFonts w:eastAsia="Calibri"/>
      <w:sz w:val="16"/>
      <w:szCs w:val="20"/>
      <w:lang w:val="en-GB" w:eastAsia="zh-CN"/>
    </w:rPr>
  </w:style>
  <w:style w:type="paragraph" w:customStyle="1" w:styleId="CaptionWide">
    <w:name w:val="~CaptionWide"/>
    <w:basedOn w:val="Caption"/>
    <w:next w:val="Normal"/>
    <w:uiPriority w:val="30"/>
    <w:semiHidden/>
    <w:qFormat/>
    <w:rsid w:val="003E2BDA"/>
    <w:pPr>
      <w:ind w:left="-2552"/>
    </w:pPr>
    <w:rPr>
      <w:bCs/>
    </w:rPr>
  </w:style>
  <w:style w:type="paragraph" w:customStyle="1" w:styleId="Confidential">
    <w:name w:val="~Confidential"/>
    <w:basedOn w:val="NoSpacing"/>
    <w:uiPriority w:val="34"/>
    <w:semiHidden/>
    <w:rsid w:val="003E2BDA"/>
  </w:style>
  <w:style w:type="paragraph" w:customStyle="1" w:styleId="DocAuthor">
    <w:name w:val="~DocAuthor"/>
    <w:basedOn w:val="NoSpacing"/>
    <w:uiPriority w:val="34"/>
    <w:semiHidden/>
    <w:rsid w:val="003E2BDA"/>
    <w:pPr>
      <w:spacing w:before="120" w:after="120"/>
    </w:pPr>
    <w:rPr>
      <w:color w:val="44546A" w:themeColor="text2"/>
    </w:rPr>
  </w:style>
  <w:style w:type="paragraph" w:customStyle="1" w:styleId="DocDate">
    <w:name w:val="~DocDate"/>
    <w:basedOn w:val="NoSpacing"/>
    <w:uiPriority w:val="34"/>
    <w:semiHidden/>
    <w:rsid w:val="003E2BDA"/>
    <w:pPr>
      <w:spacing w:before="120" w:after="120"/>
    </w:pPr>
    <w:rPr>
      <w:color w:val="44546A" w:themeColor="text2"/>
    </w:rPr>
  </w:style>
  <w:style w:type="paragraph" w:customStyle="1" w:styleId="DocSubTitle">
    <w:name w:val="~DocSubTitle"/>
    <w:basedOn w:val="NoSpacing"/>
    <w:uiPriority w:val="34"/>
    <w:semiHidden/>
    <w:rsid w:val="003E2BDA"/>
  </w:style>
  <w:style w:type="paragraph" w:customStyle="1" w:styleId="DocTitle">
    <w:name w:val="~DocTitle"/>
    <w:basedOn w:val="NoSpacing"/>
    <w:link w:val="DocTitleChar"/>
    <w:uiPriority w:val="34"/>
    <w:semiHidden/>
    <w:rsid w:val="003E2BDA"/>
    <w:pPr>
      <w:spacing w:before="200"/>
    </w:pPr>
    <w:rPr>
      <w:b/>
      <w:color w:val="4472C4" w:themeColor="accent1"/>
      <w:sz w:val="28"/>
    </w:rPr>
  </w:style>
  <w:style w:type="character" w:customStyle="1" w:styleId="DocTitleChar">
    <w:name w:val="~DocTitle Char"/>
    <w:basedOn w:val="NoSpacingChar"/>
    <w:link w:val="DocTitle"/>
    <w:uiPriority w:val="34"/>
    <w:semiHidden/>
    <w:rsid w:val="003E2BDA"/>
    <w:rPr>
      <w:rFonts w:cs="Arial"/>
      <w:b/>
      <w:color w:val="4472C4" w:themeColor="accent1"/>
      <w:sz w:val="28"/>
      <w:szCs w:val="20"/>
      <w:lang w:val="en-GB"/>
    </w:rPr>
  </w:style>
  <w:style w:type="paragraph" w:customStyle="1" w:styleId="DocType">
    <w:name w:val="~DocType"/>
    <w:basedOn w:val="NoSpacing"/>
    <w:uiPriority w:val="34"/>
    <w:semiHidden/>
    <w:rsid w:val="003E2BDA"/>
  </w:style>
  <w:style w:type="paragraph" w:customStyle="1" w:styleId="Draft">
    <w:name w:val="~Draft"/>
    <w:basedOn w:val="NoSpacing"/>
    <w:uiPriority w:val="34"/>
    <w:semiHidden/>
    <w:rsid w:val="003E2BDA"/>
  </w:style>
  <w:style w:type="paragraph" w:customStyle="1" w:styleId="GraphicLeft">
    <w:name w:val="~GraphicLeft"/>
    <w:basedOn w:val="NoSpacing"/>
    <w:uiPriority w:val="33"/>
    <w:rsid w:val="003E2BDA"/>
  </w:style>
  <w:style w:type="paragraph" w:customStyle="1" w:styleId="GraphicCentre">
    <w:name w:val="~GraphicCentre"/>
    <w:basedOn w:val="GraphicLeft"/>
    <w:uiPriority w:val="33"/>
    <w:rsid w:val="003E2BDA"/>
    <w:pPr>
      <w:jc w:val="center"/>
    </w:pPr>
  </w:style>
  <w:style w:type="paragraph" w:customStyle="1" w:styleId="GraphicRight">
    <w:name w:val="~GraphicRight"/>
    <w:basedOn w:val="GraphicLeft"/>
    <w:uiPriority w:val="33"/>
    <w:rsid w:val="003E2BDA"/>
    <w:pPr>
      <w:jc w:val="right"/>
    </w:pPr>
  </w:style>
  <w:style w:type="paragraph" w:customStyle="1" w:styleId="Hidden">
    <w:name w:val="~Hidden"/>
    <w:basedOn w:val="NoSpacing"/>
    <w:uiPriority w:val="33"/>
    <w:semiHidden/>
    <w:rsid w:val="003E2BDA"/>
    <w:pPr>
      <w:framePr w:wrap="around" w:vAnchor="page" w:hAnchor="page" w:xAlign="right" w:yAlign="bottom"/>
    </w:pPr>
    <w:rPr>
      <w:color w:val="C00000"/>
    </w:rPr>
  </w:style>
  <w:style w:type="paragraph" w:customStyle="1" w:styleId="IntroText">
    <w:name w:val="~IntroText"/>
    <w:basedOn w:val="Normal"/>
    <w:next w:val="Normal"/>
    <w:uiPriority w:val="28"/>
    <w:semiHidden/>
    <w:qFormat/>
    <w:rsid w:val="003E2BDA"/>
    <w:pPr>
      <w:spacing w:before="120"/>
    </w:pPr>
    <w:rPr>
      <w:rFonts w:ascii="Avenir" w:eastAsiaTheme="minorEastAsia" w:hAnsi="Avenir" w:cs="Avenir"/>
      <w:kern w:val="0"/>
      <w:szCs w:val="22"/>
    </w:rPr>
  </w:style>
  <w:style w:type="paragraph" w:customStyle="1" w:styleId="KeyMsgGreyBoxText">
    <w:name w:val="~KeyMsg(Grey)BoxText"/>
    <w:basedOn w:val="Normal"/>
    <w:uiPriority w:val="32"/>
    <w:rsid w:val="003E2BDA"/>
    <w:pPr>
      <w:spacing w:before="120" w:after="120"/>
      <w:ind w:left="142" w:right="142"/>
    </w:pPr>
    <w:rPr>
      <w:rFonts w:ascii="Avenir" w:eastAsiaTheme="minorEastAsia" w:hAnsi="Avenir" w:cs="Avenir"/>
      <w:kern w:val="0"/>
      <w:szCs w:val="22"/>
    </w:rPr>
  </w:style>
  <w:style w:type="paragraph" w:customStyle="1" w:styleId="KeyMsgOutlineBoxText">
    <w:name w:val="~KeyMsg(Outline)BoxText"/>
    <w:basedOn w:val="Normal"/>
    <w:link w:val="KeyMsgOutlineBoxTextChar"/>
    <w:uiPriority w:val="32"/>
    <w:rsid w:val="003E2BDA"/>
    <w:pPr>
      <w:keepNext/>
      <w:spacing w:before="120" w:after="120"/>
    </w:pPr>
    <w:rPr>
      <w:rFonts w:ascii="Avenir" w:eastAsiaTheme="minorEastAsia" w:hAnsi="Avenir" w:cs="Avenir"/>
      <w:kern w:val="0"/>
      <w:szCs w:val="22"/>
    </w:rPr>
  </w:style>
  <w:style w:type="character" w:customStyle="1" w:styleId="KeyMsgOutlineBoxTextChar">
    <w:name w:val="~KeyMsg(Outline)BoxText Char"/>
    <w:basedOn w:val="DefaultParagraphFont"/>
    <w:link w:val="KeyMsgOutlineBoxText"/>
    <w:uiPriority w:val="32"/>
    <w:rsid w:val="003E2BDA"/>
    <w:rPr>
      <w:rFonts w:eastAsiaTheme="minorEastAsia"/>
      <w:color w:val="000000" w:themeColor="text1"/>
      <w:szCs w:val="20"/>
      <w:lang w:val="en-GB" w:eastAsia="zh-CN"/>
    </w:rPr>
  </w:style>
  <w:style w:type="paragraph" w:customStyle="1" w:styleId="KeyMsgBoxHead">
    <w:name w:val="~KeyMsgBoxHead"/>
    <w:basedOn w:val="KeyMsgGreyBoxText"/>
    <w:uiPriority w:val="32"/>
    <w:semiHidden/>
    <w:rsid w:val="003E2BDA"/>
    <w:pPr>
      <w:keepNext/>
      <w:spacing w:before="60"/>
    </w:pPr>
    <w:rPr>
      <w:b/>
    </w:rPr>
  </w:style>
  <w:style w:type="paragraph" w:customStyle="1" w:styleId="NumBullet1">
    <w:name w:val="~NumBullet1"/>
    <w:basedOn w:val="Normal"/>
    <w:autoRedefine/>
    <w:uiPriority w:val="1"/>
    <w:rsid w:val="003E2BDA"/>
    <w:pPr>
      <w:tabs>
        <w:tab w:val="num" w:pos="720"/>
      </w:tabs>
      <w:spacing w:before="60" w:after="60"/>
      <w:ind w:left="720" w:hanging="720"/>
    </w:pPr>
    <w:rPr>
      <w:rFonts w:ascii="Avenir" w:eastAsiaTheme="minorEastAsia" w:hAnsi="Avenir" w:cs="Avenir"/>
      <w:kern w:val="0"/>
      <w:sz w:val="22"/>
      <w:szCs w:val="22"/>
    </w:rPr>
  </w:style>
  <w:style w:type="paragraph" w:customStyle="1" w:styleId="NumBullet2">
    <w:name w:val="~NumBullet2"/>
    <w:basedOn w:val="Normal"/>
    <w:uiPriority w:val="1"/>
    <w:rsid w:val="003E2BDA"/>
    <w:pPr>
      <w:tabs>
        <w:tab w:val="num" w:pos="1440"/>
      </w:tabs>
      <w:spacing w:before="60" w:after="60"/>
      <w:ind w:left="1440" w:hanging="720"/>
    </w:pPr>
    <w:rPr>
      <w:rFonts w:ascii="Avenir" w:eastAsiaTheme="minorEastAsia" w:hAnsi="Avenir" w:cs="Avenir"/>
      <w:kern w:val="0"/>
      <w:sz w:val="22"/>
      <w:szCs w:val="22"/>
    </w:rPr>
  </w:style>
  <w:style w:type="paragraph" w:customStyle="1" w:styleId="NumBullet3">
    <w:name w:val="~NumBullet3"/>
    <w:basedOn w:val="Normal"/>
    <w:uiPriority w:val="1"/>
    <w:rsid w:val="003E2BDA"/>
    <w:pPr>
      <w:tabs>
        <w:tab w:val="num" w:pos="2160"/>
      </w:tabs>
      <w:spacing w:before="60" w:after="60"/>
      <w:ind w:left="2160" w:hanging="720"/>
    </w:pPr>
    <w:rPr>
      <w:rFonts w:ascii="Avenir" w:eastAsiaTheme="minorEastAsia" w:hAnsi="Avenir" w:cs="Avenir"/>
      <w:kern w:val="0"/>
      <w:sz w:val="22"/>
      <w:szCs w:val="22"/>
    </w:rPr>
  </w:style>
  <w:style w:type="paragraph" w:customStyle="1" w:styleId="Source">
    <w:name w:val="~Source"/>
    <w:basedOn w:val="Normal"/>
    <w:next w:val="Normal"/>
    <w:autoRedefine/>
    <w:uiPriority w:val="6"/>
    <w:rsid w:val="003E2BDA"/>
    <w:pPr>
      <w:spacing w:before="60" w:after="120"/>
      <w:ind w:left="680" w:hanging="680"/>
    </w:pPr>
    <w:rPr>
      <w:rFonts w:ascii="Avenir" w:eastAsia="Calibri" w:hAnsi="Avenir" w:cs="Avenir"/>
      <w:i/>
      <w:color w:val="44546A" w:themeColor="text2"/>
      <w:kern w:val="0"/>
      <w:sz w:val="18"/>
      <w:szCs w:val="22"/>
    </w:rPr>
  </w:style>
  <w:style w:type="paragraph" w:customStyle="1" w:styleId="SourceWide">
    <w:name w:val="~SourceWide"/>
    <w:basedOn w:val="Source"/>
    <w:next w:val="Normal"/>
    <w:uiPriority w:val="31"/>
    <w:semiHidden/>
    <w:qFormat/>
    <w:rsid w:val="003E2BDA"/>
    <w:pPr>
      <w:ind w:left="-2552"/>
    </w:pPr>
  </w:style>
  <w:style w:type="paragraph" w:customStyle="1" w:styleId="Spacer">
    <w:name w:val="~Spacer"/>
    <w:basedOn w:val="NoSpacing"/>
    <w:uiPriority w:val="33"/>
    <w:semiHidden/>
    <w:rsid w:val="003E2BDA"/>
    <w:rPr>
      <w:rFonts w:ascii="Arial" w:hAnsi="Arial"/>
      <w:sz w:val="2"/>
    </w:rPr>
  </w:style>
  <w:style w:type="paragraph" w:customStyle="1" w:styleId="TableTextLeft">
    <w:name w:val="~TableTextLeft"/>
    <w:basedOn w:val="Normal"/>
    <w:uiPriority w:val="31"/>
    <w:rsid w:val="003E2BDA"/>
    <w:pPr>
      <w:spacing w:before="40" w:after="40"/>
    </w:pPr>
    <w:rPr>
      <w:rFonts w:ascii="Avenir" w:eastAsiaTheme="minorEastAsia" w:hAnsi="Avenir" w:cs="Avenir"/>
      <w:kern w:val="0"/>
      <w:sz w:val="22"/>
      <w:szCs w:val="22"/>
    </w:rPr>
  </w:style>
  <w:style w:type="paragraph" w:customStyle="1" w:styleId="TableBullet1">
    <w:name w:val="~TableBullet1"/>
    <w:basedOn w:val="TableTextLeft"/>
    <w:uiPriority w:val="31"/>
    <w:rsid w:val="003E2BDA"/>
    <w:pPr>
      <w:tabs>
        <w:tab w:val="num" w:pos="720"/>
      </w:tabs>
      <w:ind w:left="720" w:hanging="720"/>
    </w:pPr>
    <w:rPr>
      <w:rFonts w:eastAsia="Calibri"/>
    </w:rPr>
  </w:style>
  <w:style w:type="paragraph" w:customStyle="1" w:styleId="TableBullet2">
    <w:name w:val="~TableBullet2"/>
    <w:basedOn w:val="TableTextLeft"/>
    <w:uiPriority w:val="31"/>
    <w:rsid w:val="003E2BDA"/>
    <w:pPr>
      <w:tabs>
        <w:tab w:val="num" w:pos="1440"/>
      </w:tabs>
      <w:ind w:left="1440" w:hanging="720"/>
    </w:pPr>
  </w:style>
  <w:style w:type="paragraph" w:customStyle="1" w:styleId="TableBullet3">
    <w:name w:val="~TableBullet3"/>
    <w:basedOn w:val="TableTextLeft"/>
    <w:uiPriority w:val="31"/>
    <w:rsid w:val="003E2BDA"/>
    <w:pPr>
      <w:tabs>
        <w:tab w:val="num" w:pos="2160"/>
      </w:tabs>
      <w:ind w:left="2160" w:hanging="720"/>
    </w:pPr>
  </w:style>
  <w:style w:type="table" w:customStyle="1" w:styleId="TableClear">
    <w:name w:val="~TableClear"/>
    <w:basedOn w:val="TableNormal"/>
    <w:uiPriority w:val="99"/>
    <w:rsid w:val="003E2BDA"/>
    <w:pPr>
      <w:spacing w:before="180"/>
    </w:pPr>
    <w:rPr>
      <w:rFonts w:cs="Arial"/>
      <w:lang w:val="en-GB"/>
    </w:rPr>
    <w:tblPr/>
  </w:style>
  <w:style w:type="paragraph" w:customStyle="1" w:styleId="TableHeadingLeft">
    <w:name w:val="~TableHeadingLeft"/>
    <w:basedOn w:val="TableTextLeft"/>
    <w:uiPriority w:val="31"/>
    <w:semiHidden/>
    <w:rsid w:val="003E2BDA"/>
    <w:pPr>
      <w:keepNext/>
    </w:pPr>
    <w:rPr>
      <w:b/>
      <w:szCs w:val="26"/>
    </w:rPr>
  </w:style>
  <w:style w:type="paragraph" w:customStyle="1" w:styleId="TableHeadingCentre">
    <w:name w:val="~TableHeadingCentre"/>
    <w:basedOn w:val="TableHeadingLeft"/>
    <w:uiPriority w:val="31"/>
    <w:semiHidden/>
    <w:rsid w:val="003E2BDA"/>
    <w:pPr>
      <w:jc w:val="center"/>
    </w:pPr>
  </w:style>
  <w:style w:type="paragraph" w:customStyle="1" w:styleId="TableHeadingRight">
    <w:name w:val="~TableHeadingRight"/>
    <w:basedOn w:val="TableHeadingLeft"/>
    <w:uiPriority w:val="31"/>
    <w:semiHidden/>
    <w:rsid w:val="003E2BDA"/>
    <w:pPr>
      <w:jc w:val="right"/>
    </w:pPr>
  </w:style>
  <w:style w:type="table" w:customStyle="1" w:styleId="TableNormal0">
    <w:name w:val="~TableNormal"/>
    <w:basedOn w:val="TableNormal"/>
    <w:semiHidden/>
    <w:rsid w:val="003E2BDA"/>
    <w:pPr>
      <w:spacing w:before="180"/>
    </w:pPr>
    <w:rPr>
      <w:rFonts w:cs="Arial"/>
      <w:lang w:val="en-GB"/>
    </w:rPr>
    <w:tblPr/>
  </w:style>
  <w:style w:type="paragraph" w:customStyle="1" w:styleId="TableTextCentre">
    <w:name w:val="~TableTextCentre"/>
    <w:basedOn w:val="TableTextLeft"/>
    <w:uiPriority w:val="31"/>
    <w:rsid w:val="003E2BDA"/>
    <w:pPr>
      <w:jc w:val="center"/>
    </w:pPr>
  </w:style>
  <w:style w:type="paragraph" w:customStyle="1" w:styleId="TableTextRight">
    <w:name w:val="~TableTextRight"/>
    <w:basedOn w:val="TableTextLeft"/>
    <w:uiPriority w:val="31"/>
    <w:rsid w:val="003E2BDA"/>
    <w:pPr>
      <w:jc w:val="right"/>
    </w:pPr>
  </w:style>
  <w:style w:type="paragraph" w:customStyle="1" w:styleId="TableTotalLeft">
    <w:name w:val="~TableTotalLeft"/>
    <w:basedOn w:val="TableTextLeft"/>
    <w:uiPriority w:val="31"/>
    <w:semiHidden/>
    <w:rsid w:val="003E2BDA"/>
    <w:rPr>
      <w:b/>
    </w:rPr>
  </w:style>
  <w:style w:type="paragraph" w:customStyle="1" w:styleId="TableTotalCentre">
    <w:name w:val="~TableTotalCentre"/>
    <w:basedOn w:val="TableTotalLeft"/>
    <w:uiPriority w:val="31"/>
    <w:semiHidden/>
    <w:rsid w:val="003E2BDA"/>
    <w:pPr>
      <w:framePr w:wrap="around" w:vAnchor="page" w:hAnchor="margin" w:y="1135"/>
      <w:suppressOverlap/>
      <w:jc w:val="center"/>
    </w:pPr>
  </w:style>
  <w:style w:type="paragraph" w:customStyle="1" w:styleId="TableTotalRight">
    <w:name w:val="~TableTotalRight"/>
    <w:basedOn w:val="TableTotalLeft"/>
    <w:uiPriority w:val="31"/>
    <w:semiHidden/>
    <w:rsid w:val="003E2BDA"/>
    <w:pPr>
      <w:framePr w:wrap="around" w:vAnchor="page" w:hAnchor="margin" w:y="1135"/>
      <w:suppressOverlap/>
      <w:jc w:val="right"/>
    </w:pPr>
  </w:style>
  <w:style w:type="paragraph" w:styleId="BalloonText">
    <w:name w:val="Balloon Text"/>
    <w:basedOn w:val="Normal"/>
    <w:link w:val="BalloonTextChar"/>
    <w:uiPriority w:val="99"/>
    <w:semiHidden/>
    <w:rsid w:val="003E2BDA"/>
    <w:rPr>
      <w:rFonts w:ascii="Tahoma" w:eastAsiaTheme="minorEastAsia" w:hAnsi="Tahoma" w:cs="Tahoma"/>
      <w:color w:val="808080" w:themeColor="background1" w:themeShade="80"/>
      <w:kern w:val="0"/>
      <w:sz w:val="16"/>
      <w:szCs w:val="16"/>
    </w:rPr>
  </w:style>
  <w:style w:type="character" w:customStyle="1" w:styleId="BalloonTextChar">
    <w:name w:val="Balloon Text Char"/>
    <w:basedOn w:val="DefaultParagraphFont"/>
    <w:link w:val="BalloonText"/>
    <w:uiPriority w:val="99"/>
    <w:semiHidden/>
    <w:rsid w:val="003E2BDA"/>
    <w:rPr>
      <w:rFonts w:ascii="Tahoma" w:eastAsiaTheme="minorEastAsia" w:hAnsi="Tahoma" w:cs="Tahoma"/>
      <w:color w:val="808080" w:themeColor="background1" w:themeShade="80"/>
      <w:sz w:val="16"/>
      <w:szCs w:val="16"/>
      <w:lang w:val="en-GB" w:eastAsia="zh-CN"/>
    </w:rPr>
  </w:style>
  <w:style w:type="table" w:customStyle="1" w:styleId="Beigetable">
    <w:name w:val="Beige table"/>
    <w:basedOn w:val="TableNormal"/>
    <w:uiPriority w:val="99"/>
    <w:rsid w:val="003E2BDA"/>
    <w:pPr>
      <w:jc w:val="center"/>
    </w:pPr>
    <w:rPr>
      <w:rFonts w:eastAsiaTheme="minorEastAsia"/>
      <w:sz w:val="18"/>
      <w:lang w:val="en-GB" w:eastAsia="zh-CN"/>
    </w:rPr>
    <w:tblPr>
      <w:tblBorders>
        <w:top w:val="single" w:sz="4" w:space="0" w:color="E4D4BA"/>
        <w:left w:val="single" w:sz="4" w:space="0" w:color="E4D4BA"/>
        <w:bottom w:val="single" w:sz="4" w:space="0" w:color="E4D4BA"/>
        <w:right w:val="single" w:sz="4" w:space="0" w:color="E4D4BA"/>
        <w:insideH w:val="single" w:sz="4" w:space="0" w:color="E4D4BA"/>
      </w:tblBorders>
    </w:tblPr>
    <w:tcPr>
      <w:vAlign w:val="center"/>
    </w:tcPr>
    <w:tblStylePr w:type="firstRow">
      <w:pPr>
        <w:jc w:val="center"/>
      </w:pPr>
      <w:rPr>
        <w:rFonts w:ascii="Arial" w:hAnsi="Arial"/>
        <w:b/>
        <w:sz w:val="20"/>
      </w:rPr>
      <w:tblPr/>
      <w:tcPr>
        <w:shd w:val="clear" w:color="auto" w:fill="E4D4BA"/>
      </w:tcPr>
    </w:tblStylePr>
    <w:tblStylePr w:type="lastRow">
      <w:rPr>
        <w:rFonts w:ascii="Arial" w:hAnsi="Arial"/>
        <w:b/>
      </w:rPr>
    </w:tblStylePr>
  </w:style>
  <w:style w:type="table" w:customStyle="1" w:styleId="BeigetableStyle2">
    <w:name w:val="Beige table Style 2"/>
    <w:basedOn w:val="TableNormal"/>
    <w:uiPriority w:val="99"/>
    <w:rsid w:val="003E2BDA"/>
    <w:pPr>
      <w:jc w:val="center"/>
    </w:pPr>
    <w:rPr>
      <w:rFonts w:eastAsiaTheme="minorEastAsia"/>
      <w:lang w:val="en-GB" w:eastAsia="zh-CN"/>
    </w:rPr>
    <w:tblPr>
      <w:tblBorders>
        <w:top w:val="single" w:sz="4" w:space="0" w:color="E4D4BA"/>
        <w:left w:val="single" w:sz="4" w:space="0" w:color="E4D4BA"/>
        <w:bottom w:val="single" w:sz="4" w:space="0" w:color="E4D4BA"/>
        <w:right w:val="single" w:sz="4" w:space="0" w:color="E4D4BA"/>
        <w:insideH w:val="single" w:sz="4" w:space="0" w:color="E4D4BA"/>
      </w:tblBorders>
    </w:tblPr>
    <w:tcPr>
      <w:vAlign w:val="center"/>
    </w:tcPr>
    <w:tblStylePr w:type="firstRow">
      <w:pPr>
        <w:jc w:val="center"/>
      </w:pPr>
      <w:rPr>
        <w:rFonts w:asciiTheme="majorHAnsi" w:hAnsiTheme="majorHAnsi"/>
        <w:b/>
        <w:sz w:val="22"/>
      </w:rPr>
      <w:tblPr/>
      <w:tcPr>
        <w:tcBorders>
          <w:top w:val="nil"/>
          <w:left w:val="nil"/>
          <w:bottom w:val="nil"/>
          <w:right w:val="nil"/>
          <w:insideH w:val="single" w:sz="4" w:space="0" w:color="FFFFFF" w:themeColor="background1"/>
          <w:insideV w:val="single" w:sz="4" w:space="0" w:color="FFFFFF" w:themeColor="background1"/>
          <w:tl2br w:val="nil"/>
          <w:tr2bl w:val="nil"/>
        </w:tcBorders>
        <w:shd w:val="clear" w:color="auto" w:fill="E4D4BA"/>
      </w:tcPr>
    </w:tblStylePr>
    <w:tblStylePr w:type="firstCol">
      <w:rPr>
        <w:b/>
        <w:color w:val="auto"/>
      </w:rPr>
      <w:tblPr/>
      <w:tcPr>
        <w:tcBorders>
          <w:top w:val="single" w:sz="4" w:space="0" w:color="FFFFFF" w:themeColor="background1"/>
          <w:left w:val="nil"/>
          <w:bottom w:val="nil"/>
          <w:right w:val="nil"/>
          <w:insideH w:val="single" w:sz="4" w:space="0" w:color="FFFFFF" w:themeColor="background1"/>
          <w:insideV w:val="nil"/>
        </w:tcBorders>
        <w:shd w:val="clear" w:color="auto" w:fill="E4D4BA"/>
      </w:tcPr>
    </w:tblStylePr>
  </w:style>
  <w:style w:type="paragraph" w:customStyle="1" w:styleId="Bullets">
    <w:name w:val="Bullets"/>
    <w:basedOn w:val="Bullet1"/>
    <w:link w:val="BulletsChar"/>
    <w:autoRedefine/>
    <w:qFormat/>
    <w:rsid w:val="003E2BDA"/>
  </w:style>
  <w:style w:type="character" w:customStyle="1" w:styleId="BulletsChar">
    <w:name w:val="Bullets Char"/>
    <w:basedOn w:val="Bullet1Char"/>
    <w:link w:val="Bullets"/>
    <w:rsid w:val="003E2BDA"/>
    <w:rPr>
      <w:rFonts w:eastAsia="Calibri"/>
    </w:rPr>
  </w:style>
  <w:style w:type="character" w:styleId="CommentReference">
    <w:name w:val="annotation reference"/>
    <w:basedOn w:val="DefaultParagraphFont"/>
    <w:uiPriority w:val="99"/>
    <w:semiHidden/>
    <w:unhideWhenUsed/>
    <w:rsid w:val="003E2BDA"/>
    <w:rPr>
      <w:sz w:val="16"/>
      <w:szCs w:val="16"/>
    </w:rPr>
  </w:style>
  <w:style w:type="paragraph" w:styleId="CommentText">
    <w:name w:val="annotation text"/>
    <w:basedOn w:val="Normal"/>
    <w:link w:val="CommentTextChar"/>
    <w:uiPriority w:val="99"/>
    <w:unhideWhenUsed/>
    <w:rsid w:val="003E2BDA"/>
    <w:pPr>
      <w:spacing w:before="120"/>
    </w:pPr>
    <w:rPr>
      <w:rFonts w:ascii="Arial" w:eastAsiaTheme="minorEastAsia" w:hAnsi="Arial" w:cs="Avenir"/>
      <w:kern w:val="0"/>
      <w:sz w:val="22"/>
      <w:szCs w:val="22"/>
    </w:rPr>
  </w:style>
  <w:style w:type="character" w:customStyle="1" w:styleId="CommentTextChar">
    <w:name w:val="Comment Text Char"/>
    <w:basedOn w:val="DefaultParagraphFont"/>
    <w:link w:val="CommentText"/>
    <w:uiPriority w:val="99"/>
    <w:rsid w:val="003E2BDA"/>
    <w:rPr>
      <w:rFonts w:ascii="Arial" w:eastAsiaTheme="minorEastAsia" w:hAnsi="Arial"/>
      <w:sz w:val="20"/>
      <w:szCs w:val="20"/>
      <w:lang w:val="en-GB" w:eastAsia="zh-CN"/>
    </w:rPr>
  </w:style>
  <w:style w:type="paragraph" w:styleId="CommentSubject">
    <w:name w:val="annotation subject"/>
    <w:basedOn w:val="CommentText"/>
    <w:next w:val="CommentText"/>
    <w:link w:val="CommentSubjectChar"/>
    <w:uiPriority w:val="99"/>
    <w:semiHidden/>
    <w:unhideWhenUsed/>
    <w:rsid w:val="003E2BDA"/>
    <w:rPr>
      <w:b/>
      <w:bCs/>
    </w:rPr>
  </w:style>
  <w:style w:type="character" w:customStyle="1" w:styleId="CommentSubjectChar">
    <w:name w:val="Comment Subject Char"/>
    <w:basedOn w:val="CommentTextChar"/>
    <w:link w:val="CommentSubject"/>
    <w:uiPriority w:val="99"/>
    <w:semiHidden/>
    <w:rsid w:val="003E2BDA"/>
    <w:rPr>
      <w:rFonts w:ascii="Arial" w:eastAsiaTheme="minorEastAsia" w:hAnsi="Arial"/>
      <w:b/>
      <w:bCs/>
      <w:sz w:val="20"/>
      <w:szCs w:val="20"/>
      <w:lang w:val="en-GB" w:eastAsia="zh-CN"/>
    </w:rPr>
  </w:style>
  <w:style w:type="character" w:styleId="FollowedHyperlink">
    <w:name w:val="FollowedHyperlink"/>
    <w:aliases w:val="~FollowedHyperlink"/>
    <w:basedOn w:val="DefaultParagraphFont"/>
    <w:uiPriority w:val="99"/>
    <w:semiHidden/>
    <w:rsid w:val="003E2BDA"/>
    <w:rPr>
      <w:color w:val="954F72" w:themeColor="followedHyperlink"/>
      <w:u w:val="none"/>
    </w:rPr>
  </w:style>
  <w:style w:type="paragraph" w:styleId="Footer">
    <w:name w:val="footer"/>
    <w:aliases w:val="~Footer"/>
    <w:basedOn w:val="NoSpacing"/>
    <w:link w:val="FooterChar"/>
    <w:uiPriority w:val="36"/>
    <w:semiHidden/>
    <w:rsid w:val="003E2BDA"/>
    <w:rPr>
      <w:color w:val="44546A" w:themeColor="text2"/>
      <w:sz w:val="18"/>
    </w:rPr>
  </w:style>
  <w:style w:type="character" w:customStyle="1" w:styleId="FooterChar">
    <w:name w:val="Footer Char"/>
    <w:aliases w:val="~Footer Char"/>
    <w:basedOn w:val="DefaultParagraphFont"/>
    <w:link w:val="Footer"/>
    <w:uiPriority w:val="36"/>
    <w:semiHidden/>
    <w:rsid w:val="003E2BDA"/>
    <w:rPr>
      <w:rFonts w:cs="Arial"/>
      <w:color w:val="44546A" w:themeColor="text2"/>
      <w:sz w:val="18"/>
      <w:szCs w:val="20"/>
      <w:lang w:val="en-GB"/>
    </w:rPr>
  </w:style>
  <w:style w:type="character" w:styleId="FootnoteReference">
    <w:name w:val="footnote reference"/>
    <w:basedOn w:val="DefaultParagraphFont"/>
    <w:uiPriority w:val="35"/>
    <w:semiHidden/>
    <w:rsid w:val="003E2BDA"/>
    <w:rPr>
      <w:rFonts w:asciiTheme="minorHAnsi" w:hAnsiTheme="minorHAnsi"/>
      <w:color w:val="4472C4" w:themeColor="accent1"/>
      <w:vertAlign w:val="superscript"/>
    </w:rPr>
  </w:style>
  <w:style w:type="paragraph" w:styleId="FootnoteText">
    <w:name w:val="footnote text"/>
    <w:aliases w:val="~FootnoteText"/>
    <w:basedOn w:val="NoSpacing"/>
    <w:link w:val="FootnoteTextChar"/>
    <w:uiPriority w:val="35"/>
    <w:semiHidden/>
    <w:rsid w:val="003E2BDA"/>
    <w:pPr>
      <w:spacing w:before="60"/>
      <w:ind w:left="284" w:hanging="284"/>
    </w:pPr>
    <w:rPr>
      <w:sz w:val="18"/>
    </w:rPr>
  </w:style>
  <w:style w:type="character" w:customStyle="1" w:styleId="FootnoteTextChar">
    <w:name w:val="Footnote Text Char"/>
    <w:aliases w:val="~FootnoteText Char"/>
    <w:basedOn w:val="DefaultParagraphFont"/>
    <w:link w:val="FootnoteText"/>
    <w:uiPriority w:val="35"/>
    <w:semiHidden/>
    <w:rsid w:val="003E2BDA"/>
    <w:rPr>
      <w:rFonts w:cs="Arial"/>
      <w:color w:val="000000" w:themeColor="text1"/>
      <w:sz w:val="18"/>
      <w:szCs w:val="20"/>
      <w:lang w:val="en-GB"/>
    </w:rPr>
  </w:style>
  <w:style w:type="table" w:customStyle="1" w:styleId="Greycolour">
    <w:name w:val="Grey colour"/>
    <w:basedOn w:val="TableNormal"/>
    <w:uiPriority w:val="99"/>
    <w:rsid w:val="003E2BDA"/>
    <w:pPr>
      <w:jc w:val="center"/>
    </w:pPr>
    <w:rPr>
      <w:rFonts w:eastAsiaTheme="minorEastAsia"/>
      <w:sz w:val="18"/>
      <w:lang w:val="en-GB" w:eastAsia="zh-CN"/>
    </w:rPr>
    <w:tblPr>
      <w:tblBorders>
        <w:top w:val="single" w:sz="4" w:space="0" w:color="D8D8D6"/>
        <w:left w:val="single" w:sz="4" w:space="0" w:color="D8D8D6"/>
        <w:bottom w:val="single" w:sz="4" w:space="0" w:color="D8D8D6"/>
        <w:right w:val="single" w:sz="4" w:space="0" w:color="D8D8D6"/>
        <w:insideH w:val="single" w:sz="4" w:space="0" w:color="D8D8D6"/>
      </w:tblBorders>
    </w:tblPr>
    <w:tcPr>
      <w:shd w:val="clear" w:color="auto" w:fill="auto"/>
      <w:vAlign w:val="center"/>
    </w:tcPr>
    <w:tblStylePr w:type="firstRow">
      <w:rPr>
        <w:rFonts w:ascii="Arial" w:hAnsi="Arial"/>
        <w:b/>
        <w:color w:val="auto"/>
        <w:sz w:val="20"/>
      </w:rPr>
      <w:tblPr/>
      <w:tcPr>
        <w:shd w:val="clear" w:color="auto" w:fill="D8D8D6"/>
      </w:tcPr>
    </w:tblStylePr>
    <w:tblStylePr w:type="lastRow">
      <w:pPr>
        <w:jc w:val="center"/>
      </w:pPr>
      <w:rPr>
        <w:b/>
      </w:rPr>
      <w:tblPr/>
      <w:tcPr>
        <w:vAlign w:val="center"/>
      </w:tcPr>
    </w:tblStylePr>
  </w:style>
  <w:style w:type="table" w:customStyle="1" w:styleId="GreyTableStyle2">
    <w:name w:val="Grey Table Style 2"/>
    <w:basedOn w:val="TableNormal"/>
    <w:uiPriority w:val="99"/>
    <w:rsid w:val="003E2BDA"/>
    <w:pPr>
      <w:jc w:val="center"/>
    </w:pPr>
    <w:rPr>
      <w:rFonts w:eastAsiaTheme="minorEastAsia"/>
      <w:lang w:val="en-GB" w:eastAsia="zh-CN"/>
    </w:rPr>
    <w:tblPr>
      <w:tblBorders>
        <w:top w:val="single" w:sz="4" w:space="0" w:color="D8D8D6"/>
        <w:left w:val="single" w:sz="4" w:space="0" w:color="D8D8D6"/>
        <w:bottom w:val="single" w:sz="4" w:space="0" w:color="D8D8D6"/>
        <w:right w:val="single" w:sz="4" w:space="0" w:color="D8D8D6"/>
        <w:insideH w:val="single" w:sz="4" w:space="0" w:color="D8D8D6"/>
      </w:tblBorders>
    </w:tblPr>
    <w:tcPr>
      <w:vAlign w:val="center"/>
    </w:tcPr>
    <w:tblStylePr w:type="firstRow">
      <w:rPr>
        <w:rFonts w:asciiTheme="majorHAnsi" w:hAnsiTheme="majorHAnsi"/>
        <w:b/>
        <w:sz w:val="22"/>
      </w:rPr>
      <w:tblPr/>
      <w:tcPr>
        <w:tcBorders>
          <w:insideV w:val="single" w:sz="4" w:space="0" w:color="FFFFFF" w:themeColor="background1"/>
        </w:tcBorders>
        <w:shd w:val="clear" w:color="auto" w:fill="D8D8D6"/>
      </w:tcPr>
    </w:tblStylePr>
    <w:tblStylePr w:type="firstCol">
      <w:rPr>
        <w:rFonts w:asciiTheme="majorHAnsi" w:hAnsiTheme="majorHAnsi"/>
        <w:b/>
        <w:sz w:val="22"/>
      </w:rPr>
      <w:tblPr/>
      <w:tcPr>
        <w:tcBorders>
          <w:top w:val="nil"/>
          <w:left w:val="nil"/>
          <w:bottom w:val="nil"/>
          <w:right w:val="nil"/>
          <w:insideH w:val="single" w:sz="4" w:space="0" w:color="FFFFFF" w:themeColor="background1"/>
          <w:insideV w:val="nil"/>
        </w:tcBorders>
        <w:shd w:val="clear" w:color="auto" w:fill="D8D8D6"/>
      </w:tcPr>
    </w:tblStylePr>
  </w:style>
  <w:style w:type="table" w:styleId="GridTable5Dark-Accent1">
    <w:name w:val="Grid Table 5 Dark Accent 1"/>
    <w:basedOn w:val="TableNormal"/>
    <w:uiPriority w:val="50"/>
    <w:rsid w:val="003E2BDA"/>
    <w:pPr>
      <w:spacing w:before="180"/>
    </w:pPr>
    <w:rPr>
      <w:rFonts w:eastAsiaTheme="minorEastAsia"/>
      <w:lang w:val="en-GB"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aliases w:val="~Header"/>
    <w:basedOn w:val="NoSpacing"/>
    <w:link w:val="HeaderChar"/>
    <w:uiPriority w:val="99"/>
    <w:rsid w:val="003E2BDA"/>
    <w:rPr>
      <w:color w:val="44546A" w:themeColor="text2"/>
      <w:sz w:val="18"/>
    </w:rPr>
  </w:style>
  <w:style w:type="character" w:customStyle="1" w:styleId="HeaderChar">
    <w:name w:val="Header Char"/>
    <w:aliases w:val="~Header Char"/>
    <w:basedOn w:val="DefaultParagraphFont"/>
    <w:link w:val="Header"/>
    <w:uiPriority w:val="99"/>
    <w:rsid w:val="003E2BDA"/>
    <w:rPr>
      <w:rFonts w:cs="Arial"/>
      <w:color w:val="44546A" w:themeColor="text2"/>
      <w:sz w:val="18"/>
      <w:szCs w:val="20"/>
      <w:lang w:val="en-GB"/>
    </w:rPr>
  </w:style>
  <w:style w:type="character" w:customStyle="1" w:styleId="Heading1Char">
    <w:name w:val="Heading 1 Char"/>
    <w:basedOn w:val="DefaultParagraphFont"/>
    <w:link w:val="Heading1"/>
    <w:uiPriority w:val="3"/>
    <w:rsid w:val="003E2BDA"/>
    <w:rPr>
      <w:rFonts w:ascii="Arial" w:hAnsi="Arial" w:cs="Arial"/>
      <w:b/>
      <w:caps/>
      <w:color w:val="4472C4" w:themeColor="accent1"/>
      <w:sz w:val="20"/>
      <w:szCs w:val="20"/>
      <w:lang w:val="en-GB"/>
    </w:rPr>
  </w:style>
  <w:style w:type="paragraph" w:customStyle="1" w:styleId="Headings">
    <w:name w:val="Headings"/>
    <w:basedOn w:val="SecHeadNonToc"/>
    <w:next w:val="Normal"/>
    <w:autoRedefine/>
    <w:uiPriority w:val="27"/>
    <w:qFormat/>
    <w:rsid w:val="003E2BDA"/>
    <w:pPr>
      <w:spacing w:before="240" w:after="240"/>
      <w:outlineLvl w:val="0"/>
    </w:pPr>
    <w:rPr>
      <w:rFonts w:ascii="Arial" w:hAnsi="Arial"/>
      <w:caps/>
      <w:color w:val="B20933"/>
      <w:sz w:val="20"/>
    </w:rPr>
  </w:style>
  <w:style w:type="paragraph" w:customStyle="1" w:styleId="SubHead">
    <w:name w:val="SubHead"/>
    <w:basedOn w:val="Headings"/>
    <w:next w:val="Normal"/>
    <w:autoRedefine/>
    <w:uiPriority w:val="27"/>
    <w:qFormat/>
    <w:rsid w:val="003E2BDA"/>
    <w:rPr>
      <w:caps w:val="0"/>
      <w:color w:val="000000" w:themeColor="text1"/>
    </w:rPr>
  </w:style>
  <w:style w:type="character" w:customStyle="1" w:styleId="Heading2Char">
    <w:name w:val="Heading 2 Char"/>
    <w:basedOn w:val="DefaultParagraphFont"/>
    <w:link w:val="Heading2"/>
    <w:uiPriority w:val="3"/>
    <w:rsid w:val="003E2BDA"/>
    <w:rPr>
      <w:rFonts w:ascii="Arial" w:hAnsi="Arial" w:cs="Arial"/>
      <w:b/>
      <w:color w:val="000000" w:themeColor="text1"/>
      <w:sz w:val="18"/>
      <w:szCs w:val="20"/>
      <w:lang w:val="en-GB"/>
    </w:rPr>
  </w:style>
  <w:style w:type="character" w:customStyle="1" w:styleId="Heading3Char">
    <w:name w:val="Heading 3 Char"/>
    <w:basedOn w:val="DefaultParagraphFont"/>
    <w:link w:val="Heading3"/>
    <w:uiPriority w:val="4"/>
    <w:rsid w:val="003E2BDA"/>
    <w:rPr>
      <w:rFonts w:ascii="Arial" w:hAnsi="Arial" w:cs="Arial"/>
      <w:caps/>
      <w:color w:val="000000" w:themeColor="text1"/>
      <w:sz w:val="22"/>
      <w:szCs w:val="20"/>
      <w:lang w:val="en-GB"/>
    </w:rPr>
  </w:style>
  <w:style w:type="character" w:customStyle="1" w:styleId="Heading4Char">
    <w:name w:val="Heading 4 Char"/>
    <w:aliases w:val="~Level4Heading Char"/>
    <w:basedOn w:val="DefaultParagraphFont"/>
    <w:link w:val="Heading4"/>
    <w:uiPriority w:val="5"/>
    <w:semiHidden/>
    <w:rsid w:val="003E2BDA"/>
    <w:rPr>
      <w:rFonts w:ascii="Arial" w:hAnsi="Arial" w:cs="Arial"/>
      <w:color w:val="000000" w:themeColor="text1"/>
      <w:sz w:val="20"/>
      <w:szCs w:val="20"/>
      <w:lang w:val="en-GB"/>
    </w:rPr>
  </w:style>
  <w:style w:type="character" w:customStyle="1" w:styleId="Heading5Char">
    <w:name w:val="Heading 5 Char"/>
    <w:basedOn w:val="DefaultParagraphFont"/>
    <w:link w:val="Heading5"/>
    <w:uiPriority w:val="5"/>
    <w:semiHidden/>
    <w:rsid w:val="003E2BDA"/>
    <w:rPr>
      <w:rFonts w:ascii="Arial" w:eastAsiaTheme="majorEastAsia" w:hAnsi="Arial" w:cstheme="majorBidi"/>
      <w:color w:val="000000" w:themeColor="text1"/>
      <w:sz w:val="20"/>
      <w:szCs w:val="20"/>
      <w:lang w:val="en-GB"/>
    </w:rPr>
  </w:style>
  <w:style w:type="character" w:customStyle="1" w:styleId="Heading6Char">
    <w:name w:val="Heading 6 Char"/>
    <w:basedOn w:val="DefaultParagraphFont"/>
    <w:link w:val="Heading6"/>
    <w:uiPriority w:val="5"/>
    <w:semiHidden/>
    <w:rsid w:val="003E2BDA"/>
    <w:rPr>
      <w:rFonts w:ascii="Arial" w:eastAsiaTheme="majorEastAsia" w:hAnsi="Arial" w:cstheme="majorBidi"/>
      <w:i/>
      <w:iCs/>
      <w:color w:val="000000" w:themeColor="text1"/>
      <w:sz w:val="20"/>
      <w:szCs w:val="20"/>
      <w:lang w:val="en-GB"/>
    </w:rPr>
  </w:style>
  <w:style w:type="character" w:customStyle="1" w:styleId="Heading7Char">
    <w:name w:val="Heading 7 Char"/>
    <w:basedOn w:val="DefaultParagraphFont"/>
    <w:link w:val="Heading7"/>
    <w:uiPriority w:val="5"/>
    <w:semiHidden/>
    <w:rsid w:val="003E2BDA"/>
    <w:rPr>
      <w:rFonts w:ascii="Arial" w:eastAsiaTheme="majorEastAsia" w:hAnsi="Arial" w:cstheme="majorBidi"/>
      <w:iCs/>
      <w:color w:val="000000" w:themeColor="text1"/>
      <w:sz w:val="20"/>
      <w:szCs w:val="20"/>
      <w:lang w:val="en-GB"/>
    </w:rPr>
  </w:style>
  <w:style w:type="character" w:customStyle="1" w:styleId="Heading8Char">
    <w:name w:val="Heading 8 Char"/>
    <w:basedOn w:val="DefaultParagraphFont"/>
    <w:link w:val="Heading8"/>
    <w:uiPriority w:val="5"/>
    <w:semiHidden/>
    <w:rsid w:val="003E2BDA"/>
    <w:rPr>
      <w:rFonts w:asciiTheme="majorHAnsi" w:eastAsiaTheme="majorEastAsia" w:hAnsiTheme="majorHAnsi" w:cstheme="majorBidi"/>
      <w:color w:val="000000" w:themeColor="text1"/>
      <w:sz w:val="20"/>
      <w:szCs w:val="20"/>
      <w:lang w:val="en-GB" w:eastAsia="zh-CN"/>
    </w:rPr>
  </w:style>
  <w:style w:type="character" w:customStyle="1" w:styleId="Heading9Char">
    <w:name w:val="Heading 9 Char"/>
    <w:basedOn w:val="DefaultParagraphFont"/>
    <w:link w:val="Heading9"/>
    <w:uiPriority w:val="5"/>
    <w:semiHidden/>
    <w:rsid w:val="003E2BDA"/>
    <w:rPr>
      <w:rFonts w:asciiTheme="majorHAnsi" w:eastAsiaTheme="majorEastAsia" w:hAnsiTheme="majorHAnsi" w:cstheme="majorBidi"/>
      <w:i/>
      <w:iCs/>
      <w:color w:val="000000" w:themeColor="text1"/>
      <w:sz w:val="20"/>
      <w:szCs w:val="20"/>
      <w:lang w:val="en-GB" w:eastAsia="zh-CN"/>
    </w:rPr>
  </w:style>
  <w:style w:type="character" w:styleId="Hyperlink">
    <w:name w:val="Hyperlink"/>
    <w:aliases w:val="~Hyperlink"/>
    <w:basedOn w:val="DefaultParagraphFont"/>
    <w:uiPriority w:val="99"/>
    <w:semiHidden/>
    <w:rsid w:val="003E2BDA"/>
    <w:rPr>
      <w:color w:val="A5A5A5" w:themeColor="accent3"/>
      <w:u w:val="none"/>
    </w:rPr>
  </w:style>
  <w:style w:type="paragraph" w:customStyle="1" w:styleId="Keymessages">
    <w:name w:val="Key messages"/>
    <w:basedOn w:val="KeyMsgOutlineBoxText"/>
    <w:link w:val="KeymessagesChar"/>
    <w:autoRedefine/>
    <w:qFormat/>
    <w:rsid w:val="003E2BDA"/>
    <w:rPr>
      <w:rFonts w:ascii="Book Antiqua" w:hAnsi="Book Antiqua"/>
      <w:b/>
      <w:sz w:val="22"/>
    </w:rPr>
  </w:style>
  <w:style w:type="character" w:customStyle="1" w:styleId="KeymessagesChar">
    <w:name w:val="Key messages Char"/>
    <w:basedOn w:val="DefaultParagraphFont"/>
    <w:link w:val="Keymessages"/>
    <w:rsid w:val="003E2BDA"/>
    <w:rPr>
      <w:rFonts w:ascii="Book Antiqua" w:eastAsiaTheme="minorEastAsia" w:hAnsi="Book Antiqua"/>
      <w:b/>
      <w:color w:val="000000" w:themeColor="text1"/>
      <w:sz w:val="22"/>
      <w:szCs w:val="20"/>
      <w:lang w:val="en-GB" w:eastAsia="zh-CN"/>
    </w:rPr>
  </w:style>
  <w:style w:type="table" w:styleId="ListTable3-Accent1">
    <w:name w:val="List Table 3 Accent 1"/>
    <w:basedOn w:val="TableNormal"/>
    <w:uiPriority w:val="48"/>
    <w:rsid w:val="003E2BDA"/>
    <w:pPr>
      <w:spacing w:before="180"/>
    </w:pPr>
    <w:rPr>
      <w:rFonts w:eastAsiaTheme="minorEastAsia"/>
      <w:lang w:val="en-GB" w:eastAsia="zh-CN"/>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4-Accent1">
    <w:name w:val="List Table 4 Accent 1"/>
    <w:basedOn w:val="TableNormal"/>
    <w:uiPriority w:val="49"/>
    <w:rsid w:val="003E2BDA"/>
    <w:pPr>
      <w:spacing w:before="180"/>
    </w:pPr>
    <w:rPr>
      <w:rFonts w:eastAsiaTheme="minorEastAsia"/>
      <w:lang w:val="en-GB" w:eastAsia="zh-C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rPr>
        <w:tblHeader/>
      </w:t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MediumShading2-Accent1">
    <w:name w:val="Medium Shading 2 Accent 1"/>
    <w:basedOn w:val="TableNormal"/>
    <w:uiPriority w:val="64"/>
    <w:rsid w:val="003E2BDA"/>
    <w:pPr>
      <w:spacing w:before="180"/>
    </w:pPr>
    <w:rPr>
      <w:rFonts w:cs="Arial"/>
      <w:color w:val="808080" w:themeColor="background1" w:themeShade="80"/>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umBullets">
    <w:name w:val="NumBullets"/>
    <w:basedOn w:val="Bullets"/>
    <w:link w:val="NumBulletsChar"/>
    <w:autoRedefine/>
    <w:qFormat/>
    <w:rsid w:val="003E2BDA"/>
    <w:rPr>
      <w:rFonts w:ascii="Arial" w:hAnsi="Arial"/>
    </w:rPr>
  </w:style>
  <w:style w:type="character" w:customStyle="1" w:styleId="NumBulletsChar">
    <w:name w:val="NumBullets Char"/>
    <w:basedOn w:val="BulletsChar"/>
    <w:link w:val="NumBullets"/>
    <w:rsid w:val="003E2BDA"/>
    <w:rPr>
      <w:rFonts w:ascii="Arial" w:eastAsia="Calibri" w:hAnsi="Arial"/>
    </w:rPr>
  </w:style>
  <w:style w:type="character" w:styleId="PlaceholderText">
    <w:name w:val="Placeholder Text"/>
    <w:basedOn w:val="DefaultParagraphFont"/>
    <w:uiPriority w:val="99"/>
    <w:semiHidden/>
    <w:rsid w:val="003E2BDA"/>
    <w:rPr>
      <w:color w:val="808080"/>
    </w:rPr>
  </w:style>
  <w:style w:type="paragraph" w:customStyle="1" w:styleId="QuotesKeymessages">
    <w:name w:val="Quotes &amp; Key messages"/>
    <w:basedOn w:val="KeyMsgOutlineBoxText"/>
    <w:link w:val="QuotesKeymessagesChar"/>
    <w:autoRedefine/>
    <w:rsid w:val="003E2BDA"/>
    <w:rPr>
      <w:rFonts w:ascii="Book Antiqua" w:hAnsi="Book Antiqua"/>
      <w:b/>
      <w:sz w:val="22"/>
    </w:rPr>
  </w:style>
  <w:style w:type="character" w:customStyle="1" w:styleId="QuotesKeymessagesChar">
    <w:name w:val="Quotes &amp; Key messages Char"/>
    <w:basedOn w:val="KeyMsgOutlineBoxTextChar"/>
    <w:link w:val="QuotesKeymessages"/>
    <w:rsid w:val="003E2BDA"/>
    <w:rPr>
      <w:rFonts w:ascii="Book Antiqua" w:eastAsiaTheme="minorEastAsia" w:hAnsi="Book Antiqua"/>
      <w:b/>
      <w:color w:val="000000" w:themeColor="text1"/>
      <w:sz w:val="22"/>
      <w:szCs w:val="20"/>
      <w:lang w:val="en-GB" w:eastAsia="zh-CN"/>
    </w:rPr>
  </w:style>
  <w:style w:type="table" w:styleId="TableGrid">
    <w:name w:val="Table Grid"/>
    <w:basedOn w:val="TableNormal"/>
    <w:uiPriority w:val="59"/>
    <w:rsid w:val="003E2BDA"/>
    <w:pPr>
      <w:spacing w:before="180" w:line="276" w:lineRule="auto"/>
    </w:pPr>
    <w:rPr>
      <w:rFonts w:cs="Arial"/>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E2BDA"/>
    <w:pPr>
      <w:spacing w:before="180"/>
    </w:pPr>
    <w:rPr>
      <w:rFonts w:eastAsiaTheme="minorEastAsia"/>
      <w:lang w:val="en-GB"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tleofdoc">
    <w:name w:val="Title of doc"/>
    <w:basedOn w:val="DocTitle"/>
    <w:link w:val="TitleofdocChar"/>
    <w:autoRedefine/>
    <w:qFormat/>
    <w:rsid w:val="003E2BDA"/>
    <w:pPr>
      <w:framePr w:wrap="around" w:vAnchor="page" w:hAnchor="margin" w:y="568"/>
      <w:spacing w:line="360" w:lineRule="auto"/>
      <w:suppressOverlap/>
    </w:pPr>
    <w:rPr>
      <w:rFonts w:ascii="Arial" w:hAnsi="Arial"/>
      <w:caps/>
    </w:rPr>
  </w:style>
  <w:style w:type="character" w:customStyle="1" w:styleId="TitleofdocChar">
    <w:name w:val="Title of doc Char"/>
    <w:basedOn w:val="DocTitleChar"/>
    <w:link w:val="Titleofdoc"/>
    <w:rsid w:val="003E2BDA"/>
    <w:rPr>
      <w:rFonts w:ascii="Arial" w:hAnsi="Arial" w:cs="Arial"/>
      <w:b/>
      <w:caps/>
      <w:color w:val="4472C4" w:themeColor="accent1"/>
      <w:sz w:val="28"/>
      <w:szCs w:val="20"/>
      <w:lang w:val="en-GB"/>
    </w:rPr>
  </w:style>
  <w:style w:type="paragraph" w:styleId="TOC1">
    <w:name w:val="toc 1"/>
    <w:aliases w:val="~SectionHeadings"/>
    <w:basedOn w:val="NoSpacing"/>
    <w:next w:val="Normal"/>
    <w:uiPriority w:val="38"/>
    <w:semiHidden/>
    <w:rsid w:val="003E2BDA"/>
    <w:pPr>
      <w:tabs>
        <w:tab w:val="right" w:pos="7655"/>
      </w:tabs>
      <w:spacing w:after="120"/>
      <w:ind w:right="403"/>
    </w:pPr>
    <w:rPr>
      <w:rFonts w:asciiTheme="majorHAnsi" w:eastAsiaTheme="minorEastAsia" w:hAnsiTheme="majorHAnsi"/>
      <w:noProof/>
      <w:lang w:eastAsia="en-GB"/>
    </w:rPr>
  </w:style>
  <w:style w:type="paragraph" w:styleId="TOC2">
    <w:name w:val="toc 2"/>
    <w:aliases w:val="~SubHeadings"/>
    <w:basedOn w:val="TOC1"/>
    <w:next w:val="Normal"/>
    <w:uiPriority w:val="38"/>
    <w:semiHidden/>
    <w:rsid w:val="003E2BDA"/>
    <w:pPr>
      <w:ind w:left="425"/>
    </w:pPr>
  </w:style>
  <w:style w:type="paragraph" w:styleId="TOC3">
    <w:name w:val="toc 3"/>
    <w:aliases w:val="~MinorSubheadings"/>
    <w:basedOn w:val="TOC2"/>
    <w:next w:val="Normal"/>
    <w:uiPriority w:val="38"/>
    <w:semiHidden/>
    <w:rsid w:val="003E2BDA"/>
    <w:pPr>
      <w:ind w:left="850"/>
    </w:pPr>
  </w:style>
  <w:style w:type="paragraph" w:styleId="TOC4">
    <w:name w:val="toc 4"/>
    <w:aliases w:val="~FourthHeadLevel"/>
    <w:basedOn w:val="TOC3"/>
    <w:next w:val="Normal"/>
    <w:uiPriority w:val="38"/>
    <w:semiHidden/>
    <w:rsid w:val="003E2BDA"/>
    <w:pPr>
      <w:tabs>
        <w:tab w:val="left" w:pos="2098"/>
      </w:tabs>
      <w:ind w:left="2098" w:hanging="794"/>
    </w:pPr>
  </w:style>
  <w:style w:type="paragraph" w:styleId="TOC5">
    <w:name w:val="toc 5"/>
    <w:aliases w:val="~ExecSumHeading"/>
    <w:basedOn w:val="TOC1"/>
    <w:next w:val="Normal"/>
    <w:uiPriority w:val="38"/>
    <w:semiHidden/>
    <w:rsid w:val="003E2BDA"/>
  </w:style>
  <w:style w:type="paragraph" w:styleId="TOC6">
    <w:name w:val="toc 6"/>
    <w:aliases w:val="~AppDivider"/>
    <w:basedOn w:val="TOC1"/>
    <w:next w:val="Normal"/>
    <w:uiPriority w:val="38"/>
    <w:semiHidden/>
    <w:rsid w:val="003E2BDA"/>
    <w:pPr>
      <w:spacing w:before="240"/>
    </w:pPr>
  </w:style>
  <w:style w:type="paragraph" w:styleId="TOC7">
    <w:name w:val="toc 7"/>
    <w:aliases w:val="~AppHeadings"/>
    <w:basedOn w:val="TOC1"/>
    <w:next w:val="Normal"/>
    <w:uiPriority w:val="38"/>
    <w:semiHidden/>
    <w:rsid w:val="003E2BDA"/>
  </w:style>
  <w:style w:type="paragraph" w:styleId="TOC8">
    <w:name w:val="toc 8"/>
    <w:aliases w:val="~AppSubHeadings"/>
    <w:basedOn w:val="TOC2"/>
    <w:next w:val="Normal"/>
    <w:uiPriority w:val="38"/>
    <w:semiHidden/>
    <w:rsid w:val="003E2BDA"/>
  </w:style>
  <w:style w:type="paragraph" w:styleId="TOC9">
    <w:name w:val="toc 9"/>
    <w:basedOn w:val="Normal"/>
    <w:next w:val="Normal"/>
    <w:uiPriority w:val="38"/>
    <w:semiHidden/>
    <w:rsid w:val="003E2BDA"/>
    <w:pPr>
      <w:spacing w:before="120" w:after="100"/>
      <w:ind w:left="1600"/>
    </w:pPr>
    <w:rPr>
      <w:rFonts w:ascii="Arial" w:eastAsiaTheme="minorEastAsia" w:hAnsi="Arial" w:cs="Avenir"/>
      <w:kern w:val="0"/>
      <w:sz w:val="22"/>
      <w:szCs w:val="22"/>
    </w:rPr>
  </w:style>
  <w:style w:type="paragraph" w:styleId="TOCHeading">
    <w:name w:val="TOC Heading"/>
    <w:basedOn w:val="Heading1"/>
    <w:next w:val="Normal"/>
    <w:uiPriority w:val="38"/>
    <w:semiHidden/>
    <w:rsid w:val="003E2BDA"/>
    <w:pPr>
      <w:keepLines/>
      <w:numPr>
        <w:numId w:val="0"/>
      </w:numPr>
      <w:spacing w:after="0"/>
      <w:jc w:val="both"/>
      <w:outlineLvl w:val="9"/>
    </w:pPr>
    <w:rPr>
      <w:rFonts w:eastAsiaTheme="majorEastAsia" w:cstheme="majorBidi"/>
      <w:bCs/>
      <w:szCs w:val="28"/>
    </w:rPr>
  </w:style>
  <w:style w:type="paragraph" w:customStyle="1" w:styleId="msonormal0">
    <w:name w:val="msonormal"/>
    <w:basedOn w:val="Normal"/>
    <w:rsid w:val="00F72E65"/>
    <w:pPr>
      <w:spacing w:before="100" w:beforeAutospacing="1" w:after="100" w:afterAutospacing="1"/>
    </w:pPr>
    <w:rPr>
      <w:rFonts w:ascii="Times New Roman" w:eastAsia="Times New Roman" w:hAnsi="Times New Roman" w:cs="Times New Roman"/>
      <w:kern w:val="0"/>
    </w:rPr>
  </w:style>
  <w:style w:type="paragraph" w:customStyle="1" w:styleId="xl65">
    <w:name w:val="xl65"/>
    <w:basedOn w:val="Normal"/>
    <w:rsid w:val="00F72E65"/>
    <w:pPr>
      <w:spacing w:before="100" w:beforeAutospacing="1" w:after="100" w:afterAutospacing="1"/>
    </w:pPr>
    <w:rPr>
      <w:rFonts w:ascii="Times New Roman" w:eastAsia="Times New Roman" w:hAnsi="Times New Roman" w:cs="Times New Roman"/>
      <w:b/>
      <w:bCs/>
      <w:kern w:val="0"/>
    </w:rPr>
  </w:style>
  <w:style w:type="paragraph" w:customStyle="1" w:styleId="xl67">
    <w:name w:val="xl67"/>
    <w:basedOn w:val="Normal"/>
    <w:rsid w:val="00F72E65"/>
    <w:pPr>
      <w:spacing w:before="100" w:beforeAutospacing="1" w:after="100" w:afterAutospacing="1"/>
    </w:pPr>
    <w:rPr>
      <w:rFonts w:ascii="Times New Roman" w:eastAsia="Times New Roman" w:hAnsi="Times New Roman" w:cs="Times New Roman"/>
      <w:kern w:val="0"/>
    </w:rPr>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rsid w:val="00284695"/>
    <w:pPr>
      <w:ind w:left="720"/>
      <w:contextualSpacing/>
    </w:pPr>
    <w:rPr>
      <w:rFonts w:ascii="Avenir" w:eastAsiaTheme="minorEastAsia" w:hAnsi="Avenir" w:cs="Avenir"/>
      <w:kern w:val="0"/>
      <w:sz w:val="22"/>
      <w:szCs w:val="22"/>
    </w:rPr>
  </w:style>
  <w:style w:type="paragraph" w:styleId="Bibliography">
    <w:name w:val="Bibliography"/>
    <w:basedOn w:val="Normal"/>
    <w:next w:val="Normal"/>
    <w:uiPriority w:val="37"/>
    <w:unhideWhenUsed/>
    <w:rsid w:val="00F124A2"/>
    <w:pPr>
      <w:tabs>
        <w:tab w:val="left" w:pos="260"/>
      </w:tabs>
      <w:spacing w:line="480" w:lineRule="auto"/>
      <w:ind w:left="264" w:hanging="264"/>
    </w:pPr>
    <w:rPr>
      <w:rFonts w:ascii="Avenir" w:eastAsiaTheme="minorEastAsia" w:hAnsi="Avenir" w:cs="Avenir"/>
      <w:kern w:val="0"/>
      <w:sz w:val="22"/>
      <w:szCs w:val="22"/>
    </w:rPr>
  </w:style>
  <w:style w:type="paragraph" w:styleId="Revision">
    <w:name w:val="Revision"/>
    <w:hidden/>
    <w:uiPriority w:val="99"/>
    <w:semiHidden/>
    <w:rsid w:val="00930898"/>
    <w:rPr>
      <w:rFonts w:eastAsiaTheme="minorEastAsia"/>
    </w:rPr>
  </w:style>
  <w:style w:type="character" w:styleId="UnresolvedMention">
    <w:name w:val="Unresolved Mention"/>
    <w:basedOn w:val="DefaultParagraphFont"/>
    <w:uiPriority w:val="99"/>
    <w:rsid w:val="00EB0FC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180" w:line="276" w:lineRule="auto"/>
      <w:jc w:val="center"/>
    </w:pPr>
    <w:rPr>
      <w:color w:val="808080"/>
      <w:sz w:val="18"/>
      <w:szCs w:val="18"/>
    </w:rPr>
    <w:tblPr>
      <w:tblStyleRowBandSize w:val="1"/>
      <w:tblStyleColBandSize w:val="1"/>
      <w:tblCellMar>
        <w:left w:w="115" w:type="dxa"/>
        <w:right w:w="115" w:type="dxa"/>
      </w:tblCellMar>
    </w:tblPr>
    <w:tcPr>
      <w:shd w:val="clear" w:color="auto" w:fill="D9E2F3"/>
      <w:vAlign w:val="center"/>
    </w:tc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character" w:styleId="LineNumber">
    <w:name w:val="line number"/>
    <w:basedOn w:val="DefaultParagraphFont"/>
    <w:uiPriority w:val="99"/>
    <w:semiHidden/>
    <w:unhideWhenUsed/>
    <w:rsid w:val="00EE6C37"/>
  </w:style>
  <w:style w:type="table" w:customStyle="1" w:styleId="ac">
    <w:basedOn w:val="TableNormal"/>
    <w:pPr>
      <w:spacing w:before="180" w:line="276" w:lineRule="auto"/>
      <w:jc w:val="center"/>
    </w:pPr>
    <w:rPr>
      <w:color w:val="808080"/>
      <w:sz w:val="18"/>
      <w:szCs w:val="18"/>
    </w:rPr>
    <w:tblPr>
      <w:tblStyleRowBandSize w:val="1"/>
      <w:tblStyleColBandSize w:val="1"/>
      <w:tblCellMar>
        <w:left w:w="115" w:type="dxa"/>
        <w:right w:w="115" w:type="dxa"/>
      </w:tblCellMar>
    </w:tblPr>
    <w:tcPr>
      <w:shd w:val="clear" w:color="auto" w:fill="D9E2F3"/>
      <w:vAlign w:val="center"/>
    </w:tcPr>
  </w:style>
  <w:style w:type="table" w:customStyle="1" w:styleId="ad">
    <w:basedOn w:val="TableNormal"/>
    <w:pPr>
      <w:spacing w:before="180" w:line="276" w:lineRule="auto"/>
      <w:jc w:val="center"/>
    </w:pPr>
    <w:rPr>
      <w:color w:val="808080"/>
      <w:sz w:val="18"/>
      <w:szCs w:val="18"/>
    </w:rPr>
    <w:tblPr>
      <w:tblStyleRowBandSize w:val="1"/>
      <w:tblStyleColBandSize w:val="1"/>
      <w:tblCellMar>
        <w:left w:w="115" w:type="dxa"/>
        <w:right w:w="115" w:type="dxa"/>
      </w:tblCellMar>
    </w:tblPr>
    <w:tcPr>
      <w:shd w:val="clear" w:color="auto" w:fill="D9E2F3"/>
      <w:vAlign w:val="center"/>
    </w:tcPr>
  </w:style>
  <w:style w:type="table" w:customStyle="1" w:styleId="ae">
    <w:basedOn w:val="TableNormal"/>
    <w:pPr>
      <w:spacing w:before="180" w:line="276" w:lineRule="auto"/>
      <w:jc w:val="center"/>
    </w:pPr>
    <w:rPr>
      <w:color w:val="808080"/>
      <w:sz w:val="18"/>
      <w:szCs w:val="18"/>
    </w:rPr>
    <w:tblPr>
      <w:tblStyleRowBandSize w:val="1"/>
      <w:tblStyleColBandSize w:val="1"/>
      <w:tblCellMar>
        <w:left w:w="115" w:type="dxa"/>
        <w:right w:w="115" w:type="dxa"/>
      </w:tblCellMar>
    </w:tblPr>
    <w:tcPr>
      <w:shd w:val="clear" w:color="auto" w:fill="D9E2F3"/>
      <w:vAlign w:val="center"/>
    </w:tcPr>
  </w:style>
  <w:style w:type="table" w:customStyle="1" w:styleId="af">
    <w:basedOn w:val="TableNormal"/>
    <w:pPr>
      <w:spacing w:before="180" w:line="276" w:lineRule="auto"/>
      <w:jc w:val="center"/>
    </w:pPr>
    <w:rPr>
      <w:color w:val="808080"/>
      <w:sz w:val="18"/>
      <w:szCs w:val="18"/>
    </w:rPr>
    <w:tblPr>
      <w:tblStyleRowBandSize w:val="1"/>
      <w:tblStyleColBandSize w:val="1"/>
      <w:tblCellMar>
        <w:left w:w="115" w:type="dxa"/>
        <w:right w:w="115" w:type="dxa"/>
      </w:tblCellMar>
    </w:tblPr>
    <w:tcPr>
      <w:shd w:val="clear" w:color="auto" w:fill="D9E2F3"/>
      <w:vAlign w:val="center"/>
    </w:tcPr>
  </w:style>
  <w:style w:type="table" w:customStyle="1" w:styleId="af0">
    <w:basedOn w:val="TableNormal"/>
    <w:pPr>
      <w:spacing w:before="180" w:line="276" w:lineRule="auto"/>
      <w:jc w:val="center"/>
    </w:pPr>
    <w:rPr>
      <w:color w:val="808080"/>
      <w:sz w:val="18"/>
      <w:szCs w:val="18"/>
    </w:rPr>
    <w:tblPr>
      <w:tblStyleRowBandSize w:val="1"/>
      <w:tblStyleColBandSize w:val="1"/>
      <w:tblCellMar>
        <w:left w:w="115" w:type="dxa"/>
        <w:right w:w="115" w:type="dxa"/>
      </w:tblCellMar>
    </w:tblPr>
    <w:tcPr>
      <w:shd w:val="clear" w:color="auto" w:fill="D9E2F3"/>
      <w:vAlign w:val="center"/>
    </w:tcPr>
  </w:style>
  <w:style w:type="table" w:customStyle="1" w:styleId="af1">
    <w:basedOn w:val="TableNormal"/>
    <w:pPr>
      <w:spacing w:before="180" w:line="276" w:lineRule="auto"/>
      <w:jc w:val="center"/>
    </w:pPr>
    <w:rPr>
      <w:color w:val="808080"/>
      <w:sz w:val="18"/>
      <w:szCs w:val="18"/>
    </w:rPr>
    <w:tblPr>
      <w:tblStyleRowBandSize w:val="1"/>
      <w:tblStyleColBandSize w:val="1"/>
      <w:tblCellMar>
        <w:left w:w="115" w:type="dxa"/>
        <w:right w:w="115" w:type="dxa"/>
      </w:tblCellMar>
    </w:tblPr>
    <w:tcPr>
      <w:shd w:val="clear" w:color="auto" w:fill="D9E2F3"/>
      <w:vAlign w:val="center"/>
    </w:tcPr>
  </w:style>
  <w:style w:type="table" w:customStyle="1" w:styleId="af2">
    <w:basedOn w:val="TableNormal"/>
    <w:pPr>
      <w:spacing w:before="180" w:line="276" w:lineRule="auto"/>
      <w:jc w:val="center"/>
    </w:pPr>
    <w:rPr>
      <w:color w:val="808080"/>
      <w:sz w:val="18"/>
      <w:szCs w:val="18"/>
    </w:rPr>
    <w:tblPr>
      <w:tblStyleRowBandSize w:val="1"/>
      <w:tblStyleColBandSize w:val="1"/>
      <w:tblCellMar>
        <w:left w:w="115" w:type="dxa"/>
        <w:right w:w="115" w:type="dxa"/>
      </w:tblCellMar>
    </w:tblPr>
    <w:tcPr>
      <w:shd w:val="clear" w:color="auto" w:fill="D9E2F3"/>
      <w:vAlign w:val="center"/>
    </w:tcPr>
  </w:style>
  <w:style w:type="table" w:customStyle="1" w:styleId="af3">
    <w:basedOn w:val="TableNormal"/>
    <w:pPr>
      <w:spacing w:before="180" w:line="276" w:lineRule="auto"/>
      <w:jc w:val="center"/>
    </w:pPr>
    <w:rPr>
      <w:color w:val="808080"/>
      <w:sz w:val="18"/>
      <w:szCs w:val="18"/>
    </w:rPr>
    <w:tblPr>
      <w:tblStyleRowBandSize w:val="1"/>
      <w:tblStyleColBandSize w:val="1"/>
      <w:tblCellMar>
        <w:left w:w="115" w:type="dxa"/>
        <w:right w:w="115" w:type="dxa"/>
      </w:tblCellMar>
    </w:tblPr>
    <w:tcPr>
      <w:shd w:val="clear" w:color="auto" w:fill="D9E2F3"/>
      <w:vAlign w:val="center"/>
    </w:tcPr>
  </w:style>
  <w:style w:type="table" w:customStyle="1" w:styleId="af4">
    <w:basedOn w:val="TableNormal"/>
    <w:pPr>
      <w:spacing w:before="180" w:line="276" w:lineRule="auto"/>
      <w:jc w:val="center"/>
    </w:pPr>
    <w:rPr>
      <w:color w:val="808080"/>
      <w:sz w:val="18"/>
      <w:szCs w:val="18"/>
    </w:rPr>
    <w:tblPr>
      <w:tblStyleRowBandSize w:val="1"/>
      <w:tblStyleColBandSize w:val="1"/>
      <w:tblCellMar>
        <w:left w:w="115" w:type="dxa"/>
        <w:right w:w="115" w:type="dxa"/>
      </w:tblCellMar>
    </w:tblPr>
    <w:tcPr>
      <w:shd w:val="clear" w:color="auto" w:fill="D9E2F3"/>
      <w:vAlign w:val="center"/>
    </w:tcPr>
  </w:style>
  <w:style w:type="paragraph" w:customStyle="1" w:styleId="paragraph">
    <w:name w:val="paragraph"/>
    <w:basedOn w:val="Normal"/>
    <w:rsid w:val="006E03D7"/>
    <w:pPr>
      <w:spacing w:before="100" w:beforeAutospacing="1" w:after="100" w:afterAutospacing="1"/>
    </w:pPr>
    <w:rPr>
      <w:rFonts w:ascii="Times New Roman" w:eastAsia="Times New Roman" w:hAnsi="Times New Roman" w:cs="Times New Roman"/>
      <w:kern w:val="0"/>
    </w:rPr>
  </w:style>
  <w:style w:type="character" w:customStyle="1" w:styleId="normaltextrun">
    <w:name w:val="normaltextrun"/>
    <w:basedOn w:val="DefaultParagraphFont"/>
    <w:rsid w:val="006E03D7"/>
  </w:style>
  <w:style w:type="character" w:customStyle="1" w:styleId="eop">
    <w:name w:val="eop"/>
    <w:basedOn w:val="DefaultParagraphFont"/>
    <w:rsid w:val="006E0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718853">
      <w:bodyDiv w:val="1"/>
      <w:marLeft w:val="0"/>
      <w:marRight w:val="0"/>
      <w:marTop w:val="0"/>
      <w:marBottom w:val="0"/>
      <w:divBdr>
        <w:top w:val="none" w:sz="0" w:space="0" w:color="auto"/>
        <w:left w:val="none" w:sz="0" w:space="0" w:color="auto"/>
        <w:bottom w:val="none" w:sz="0" w:space="0" w:color="auto"/>
        <w:right w:val="none" w:sz="0" w:space="0" w:color="auto"/>
      </w:divBdr>
      <w:divsChild>
        <w:div w:id="2009478131">
          <w:marLeft w:val="0"/>
          <w:marRight w:val="0"/>
          <w:marTop w:val="0"/>
          <w:marBottom w:val="0"/>
          <w:divBdr>
            <w:top w:val="none" w:sz="0" w:space="0" w:color="auto"/>
            <w:left w:val="none" w:sz="0" w:space="0" w:color="auto"/>
            <w:bottom w:val="none" w:sz="0" w:space="0" w:color="auto"/>
            <w:right w:val="none" w:sz="0" w:space="0" w:color="auto"/>
          </w:divBdr>
          <w:divsChild>
            <w:div w:id="2097432704">
              <w:marLeft w:val="0"/>
              <w:marRight w:val="0"/>
              <w:marTop w:val="0"/>
              <w:marBottom w:val="0"/>
              <w:divBdr>
                <w:top w:val="none" w:sz="0" w:space="0" w:color="auto"/>
                <w:left w:val="none" w:sz="0" w:space="0" w:color="auto"/>
                <w:bottom w:val="none" w:sz="0" w:space="0" w:color="auto"/>
                <w:right w:val="none" w:sz="0" w:space="0" w:color="auto"/>
              </w:divBdr>
              <w:divsChild>
                <w:div w:id="1609198746">
                  <w:marLeft w:val="0"/>
                  <w:marRight w:val="0"/>
                  <w:marTop w:val="0"/>
                  <w:marBottom w:val="0"/>
                  <w:divBdr>
                    <w:top w:val="none" w:sz="0" w:space="0" w:color="auto"/>
                    <w:left w:val="none" w:sz="0" w:space="0" w:color="auto"/>
                    <w:bottom w:val="none" w:sz="0" w:space="0" w:color="auto"/>
                    <w:right w:val="none" w:sz="0" w:space="0" w:color="auto"/>
                  </w:divBdr>
                  <w:divsChild>
                    <w:div w:id="6387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592230">
      <w:bodyDiv w:val="1"/>
      <w:marLeft w:val="0"/>
      <w:marRight w:val="0"/>
      <w:marTop w:val="0"/>
      <w:marBottom w:val="0"/>
      <w:divBdr>
        <w:top w:val="none" w:sz="0" w:space="0" w:color="auto"/>
        <w:left w:val="none" w:sz="0" w:space="0" w:color="auto"/>
        <w:bottom w:val="none" w:sz="0" w:space="0" w:color="auto"/>
        <w:right w:val="none" w:sz="0" w:space="0" w:color="auto"/>
      </w:divBdr>
    </w:div>
    <w:div w:id="1087651675">
      <w:bodyDiv w:val="1"/>
      <w:marLeft w:val="0"/>
      <w:marRight w:val="0"/>
      <w:marTop w:val="0"/>
      <w:marBottom w:val="0"/>
      <w:divBdr>
        <w:top w:val="none" w:sz="0" w:space="0" w:color="auto"/>
        <w:left w:val="none" w:sz="0" w:space="0" w:color="auto"/>
        <w:bottom w:val="none" w:sz="0" w:space="0" w:color="auto"/>
        <w:right w:val="none" w:sz="0" w:space="0" w:color="auto"/>
      </w:divBdr>
    </w:div>
    <w:div w:id="1269459604">
      <w:bodyDiv w:val="1"/>
      <w:marLeft w:val="0"/>
      <w:marRight w:val="0"/>
      <w:marTop w:val="0"/>
      <w:marBottom w:val="0"/>
      <w:divBdr>
        <w:top w:val="none" w:sz="0" w:space="0" w:color="auto"/>
        <w:left w:val="none" w:sz="0" w:space="0" w:color="auto"/>
        <w:bottom w:val="none" w:sz="0" w:space="0" w:color="auto"/>
        <w:right w:val="none" w:sz="0" w:space="0" w:color="auto"/>
      </w:divBdr>
    </w:div>
    <w:div w:id="2113209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beal@gainhealth.org" TargetMode="Externa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dietquality.org/" TargetMode="External"/><Relationship Id="rId10" Type="http://schemas.openxmlformats.org/officeDocument/2006/relationships/hyperlink" Target="http://dietquality.or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Oe4HHvFh5Qw7xvVZpfgmbQorrQ==">CgMxLjA4AHIhMWJ3d1NkMDAwcmdFdDhpV0Z0SEZOZUdTeWI5akJuamFG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37</Pages>
  <Words>41454</Words>
  <Characters>236288</Characters>
  <Application>Microsoft Office Word</Application>
  <DocSecurity>0</DocSecurity>
  <Lines>1969</Lines>
  <Paragraphs>554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 Beal</dc:creator>
  <cp:lastModifiedBy>Flaminia Ortenzi</cp:lastModifiedBy>
  <cp:revision>4</cp:revision>
  <dcterms:created xsi:type="dcterms:W3CDTF">2024-03-21T19:17:00Z</dcterms:created>
  <dcterms:modified xsi:type="dcterms:W3CDTF">2024-04-09T07:59:00Z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s" value="true"/&gt;&lt;pref name="delayCitationUpdates" value="true"/&gt;&lt;/prefs&gt;&lt;/data&gt;</vt:lpwstr>
  </property>
  <property fmtid="{D5CDD505-2E9C-101B-9397-08002B2CF9AE}" pid="3" name="ZOTERO_PREF_1">
    <vt:lpwstr>&lt;data data-version="3" zotero-version="6.0.30"&gt;&lt;session id="1wjoFLaO"/&gt;&lt;style id="http://www.zotero.org/styles/nature" hasBibliography="1" bibliographyStyleHasBeenSet="1"/&gt;&lt;prefs&gt;&lt;pref name="fieldType" value="Field"/&gt;&lt;pref name="dontAskDelayCitationUpdate</vt:lpwstr>
  </property>
</Properties>
</file>