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BDFB" w14:textId="241EEE02" w:rsidR="00770A30" w:rsidRDefault="00770A30" w:rsidP="00AC525D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</w:pP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  <w:fldChar w:fldCharType="begin"/>
      </w: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  <w:instrText xml:space="preserve"> HYPERLINK "</w:instrText>
      </w:r>
      <w:r w:rsidRPr="00770A30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  <w:instrText>https://www.youtube.com/watch?v=ugEPdPteKaI</w:instrText>
      </w: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  <w:instrText xml:space="preserve">" </w:instrText>
      </w: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  <w:fldChar w:fldCharType="separate"/>
      </w:r>
      <w:r w:rsidRPr="00847F88">
        <w:rPr>
          <w:rStyle w:val="Hyperlink"/>
          <w:rFonts w:ascii="Segoe UI" w:eastAsia="Times New Roman" w:hAnsi="Segoe UI" w:cs="Segoe UI"/>
          <w:b/>
          <w:bCs/>
          <w:sz w:val="23"/>
          <w:szCs w:val="23"/>
          <w:shd w:val="clear" w:color="auto" w:fill="FFFFFF"/>
          <w:lang w:eastAsia="en-CA"/>
        </w:rPr>
        <w:t>https://www.youtube.com/watch?v=ugEPdPteKaI</w:t>
      </w: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  <w:fldChar w:fldCharType="end"/>
      </w:r>
    </w:p>
    <w:p w14:paraId="05B48CB0" w14:textId="77777777" w:rsidR="00770A30" w:rsidRDefault="00770A30" w:rsidP="00AC525D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</w:pPr>
    </w:p>
    <w:p w14:paraId="7EA6E4A7" w14:textId="01DD8A8C" w:rsidR="00AC525D" w:rsidRPr="005871B2" w:rsidRDefault="005871B2" w:rsidP="00AC525D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</w:pP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  <w:t>المقطع</w:t>
      </w:r>
      <w:proofErr w:type="spellEnd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shd w:val="clear" w:color="auto" w:fill="FFFFFF"/>
          <w:lang w:eastAsia="en-CA"/>
        </w:rPr>
        <w:t>الأول</w:t>
      </w:r>
      <w:proofErr w:type="spellEnd"/>
    </w:p>
    <w:p w14:paraId="5537B0DE" w14:textId="77777777" w:rsidR="005871B2" w:rsidRDefault="00AC525D" w:rsidP="00AC525D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بيان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معنى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قوله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وجود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السبب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المقتضي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وانتفاء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المانع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سبب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صلى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الله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عليه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وسلم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القيام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جماعة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رمضان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بعض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الليالي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جمع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القرآن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داخل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جمع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السنة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داخل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البدعة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ضابط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السنة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التركية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ومتى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يكون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النبوي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تشريع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للأمة</w:t>
      </w:r>
      <w:proofErr w:type="spellEnd"/>
      <w:r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6C8DF555" w14:textId="77777777" w:rsidR="005871B2" w:rsidRDefault="005871B2" w:rsidP="00AC525D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الثاني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حكم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تكوين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العلوم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الجديدة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ومنها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الجرح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والتعديل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المعروف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بعلم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الرجال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الجهر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بالنية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عند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الصلاة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المولد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النبوي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092F410C" w14:textId="77777777" w:rsidR="005871B2" w:rsidRDefault="005871B2" w:rsidP="00AC525D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الثالث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الأذان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لصلاة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العيد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الأمور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المستحدثة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عهد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عمر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رضي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الله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عنه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والتي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تكن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العهد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النبوي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الأدلة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القرآن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والسنة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فعل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النبي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صلى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الله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عليه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وسلم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أكل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الثوم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والبصل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بناء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الكعبة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قواعد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إبراهيم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قتل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المنافقين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أنواع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وما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هو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الشرعي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الديني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المقصود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بيانا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للأمة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014D5683" w14:textId="77777777" w:rsidR="005871B2" w:rsidRDefault="005871B2" w:rsidP="00AC525D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الرابع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تطبيقات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السنة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التركية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قول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الأشاعرة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أول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واجب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المكلف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صلاة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ركعتين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بعد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السعي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حكم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السجود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دون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سبب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299FF659" w14:textId="3BE783E6" w:rsidR="005871B2" w:rsidRDefault="005871B2" w:rsidP="00AC525D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الخامس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الاحتفال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بأيام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الإسلام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بيان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خطر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تحويل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الدين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إلى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احتفالات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نكاح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التحليل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سنة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حجة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شرعية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معتبرة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وبيان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أقسامها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جهة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ناقليها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</w:p>
    <w:p w14:paraId="3BBBD703" w14:textId="77777777" w:rsidR="005871B2" w:rsidRDefault="005871B2" w:rsidP="00AC525D">
      <w:pP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</w:p>
    <w:p w14:paraId="557FD004" w14:textId="251BF089" w:rsidR="00A5175F" w:rsidRDefault="005871B2" w:rsidP="00AC525D">
      <w:pPr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</w:pP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5871B2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السادس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صلاة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الرغائب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وتخصيص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عبادات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ليلة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النصف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من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شعبان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الأدلة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الدالة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على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حجية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سنة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آثار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السلف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عن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السنة</w:t>
      </w:r>
      <w:proofErr w:type="spellEnd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="00AC525D" w:rsidRPr="00AC525D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التركية</w:t>
      </w:r>
      <w:proofErr w:type="spellEnd"/>
    </w:p>
    <w:p w14:paraId="3762A6E7" w14:textId="6E87D620" w:rsidR="00AC525D" w:rsidRDefault="00AC525D" w:rsidP="00AC525D"/>
    <w:p w14:paraId="6C2E7A2A" w14:textId="3BD656F4" w:rsidR="007D349A" w:rsidRPr="007D349A" w:rsidRDefault="007D349A" w:rsidP="00AC525D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7D349A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7D349A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السابع</w:t>
      </w:r>
      <w:proofErr w:type="spellEnd"/>
    </w:p>
    <w:p w14:paraId="309CA2AA" w14:textId="77777777" w:rsidR="007D349A" w:rsidRPr="007D349A" w:rsidRDefault="007D349A" w:rsidP="007D349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أمثلة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على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البدع</w:t>
      </w:r>
      <w:proofErr w:type="spellEnd"/>
    </w:p>
    <w:p w14:paraId="28D29DC4" w14:textId="0419341F" w:rsidR="007D349A" w:rsidRDefault="007D349A" w:rsidP="007D349A"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تخصيص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عبادات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في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بداية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العام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الجديد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br/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عمرة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،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صيام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،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قيام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ليل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،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أدعية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نهاية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العام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،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رسائل</w:t>
      </w:r>
      <w:proofErr w:type="spellEnd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color w:val="201F1E"/>
          <w:sz w:val="23"/>
          <w:szCs w:val="23"/>
          <w:shd w:val="clear" w:color="auto" w:fill="FFFFFF"/>
          <w:lang w:eastAsia="en-CA"/>
        </w:rPr>
        <w:t>الجوال</w:t>
      </w:r>
      <w:proofErr w:type="spellEnd"/>
    </w:p>
    <w:p w14:paraId="74CC8306" w14:textId="77777777" w:rsidR="007D349A" w:rsidRDefault="007D349A" w:rsidP="00AC525D"/>
    <w:p w14:paraId="6B0D7E15" w14:textId="0AE25FEF" w:rsidR="007D349A" w:rsidRPr="007D349A" w:rsidRDefault="007D349A" w:rsidP="00AC525D">
      <w:pP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</w:pPr>
      <w:proofErr w:type="spellStart"/>
      <w:r w:rsidRPr="007D349A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المقطع</w:t>
      </w:r>
      <w:proofErr w:type="spellEnd"/>
      <w:r w:rsidRPr="007D349A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 xml:space="preserve"> </w:t>
      </w:r>
      <w:proofErr w:type="spellStart"/>
      <w:r w:rsidRPr="007D349A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الثامن</w:t>
      </w:r>
      <w:proofErr w:type="spellEnd"/>
    </w:p>
    <w:p w14:paraId="6BCCDED5" w14:textId="6FB54289" w:rsidR="007D349A" w:rsidRDefault="007D349A" w:rsidP="00AC525D">
      <w:pPr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رسائل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النصر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على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الأعداء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الحملات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المليونية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قراءة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القرآن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بنية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معينة</w:t>
      </w:r>
      <w:proofErr w:type="spellEnd"/>
      <w:r>
        <w:rPr>
          <w:rFonts w:ascii="Segoe UI" w:hAnsi="Segoe UI" w:cs="Segoe UI"/>
          <w:color w:val="201F1E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دعاء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الحروف</w:t>
      </w:r>
      <w:proofErr w:type="spellEnd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01F1E"/>
          <w:sz w:val="23"/>
          <w:szCs w:val="23"/>
          <w:shd w:val="clear" w:color="auto" w:fill="FFFFFF"/>
        </w:rPr>
        <w:t>الأبجدية</w:t>
      </w:r>
      <w:proofErr w:type="spellEnd"/>
    </w:p>
    <w:p w14:paraId="17C67C5B" w14:textId="77777777" w:rsidR="007D349A" w:rsidRPr="00AC525D" w:rsidRDefault="007D349A" w:rsidP="00AC525D"/>
    <w:sectPr w:rsidR="007D349A" w:rsidRPr="00AC525D" w:rsidSect="00B17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4C"/>
    <w:rsid w:val="005871B2"/>
    <w:rsid w:val="005B1E4C"/>
    <w:rsid w:val="00770A30"/>
    <w:rsid w:val="007D349A"/>
    <w:rsid w:val="00A5175F"/>
    <w:rsid w:val="00AC525D"/>
    <w:rsid w:val="00B1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EE83"/>
  <w15:chartTrackingRefBased/>
  <w15:docId w15:val="{B70DD236-E3E9-4125-8287-88D9EB0A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Sabsoob Ossama (IBM)</dc:creator>
  <cp:keywords/>
  <dc:description/>
  <cp:lastModifiedBy>Sabsoob Ossama (IBM)</cp:lastModifiedBy>
  <cp:revision>5</cp:revision>
  <dcterms:created xsi:type="dcterms:W3CDTF">2022-02-03T17:53:00Z</dcterms:created>
  <dcterms:modified xsi:type="dcterms:W3CDTF">2022-02-04T02:05:00Z</dcterms:modified>
</cp:coreProperties>
</file>