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الصوفية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والسماع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18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1"/>
        </w:rPr>
        <w:t xml:space="preserve">الشاطبي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((</w:t>
      </w:r>
      <w:r w:rsidDel="00000000" w:rsidR="00000000" w:rsidRPr="00000000">
        <w:rPr>
          <w:rtl w:val="1"/>
        </w:rPr>
        <w:t xml:space="preserve">الاعتصام</w:t>
      </w:r>
      <w:r w:rsidDel="00000000" w:rsidR="00000000" w:rsidRPr="00000000">
        <w:rPr>
          <w:rtl w:val="0"/>
        </w:rPr>
        <w:t xml:space="preserve">)) (1/260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1"/>
        </w:rPr>
        <w:t xml:space="preserve">الذهبي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النبلاء</w:t>
      </w:r>
      <w:r w:rsidDel="00000000" w:rsidR="00000000" w:rsidRPr="00000000">
        <w:rPr>
          <w:rtl w:val="0"/>
        </w:rPr>
        <w:t xml:space="preserve"> (17/37-38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1"/>
        </w:rPr>
        <w:t xml:space="preserve">القسطلاني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اللدنية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السخاوي</w:t>
      </w:r>
      <w:r w:rsidDel="00000000" w:rsidR="00000000" w:rsidRPr="00000000">
        <w:rPr>
          <w:rtl w:val="0"/>
        </w:rPr>
        <w:t xml:space="preserve"> (5/295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1"/>
        </w:rPr>
        <w:t xml:space="preserve">الشيخ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الأنصاري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الرسل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 288 - 289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1"/>
        </w:rPr>
        <w:t xml:space="preserve">الشقيري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والمبتدعات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 189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((</w:t>
      </w:r>
      <w:r w:rsidDel="00000000" w:rsidR="00000000" w:rsidRPr="00000000">
        <w:rPr>
          <w:rtl w:val="1"/>
        </w:rPr>
        <w:t xml:space="preserve">مدارج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السالكين</w:t>
      </w:r>
      <w:r w:rsidDel="00000000" w:rsidR="00000000" w:rsidRPr="00000000">
        <w:rPr>
          <w:rtl w:val="0"/>
        </w:rPr>
        <w:t xml:space="preserve">)) (1/158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((</w:t>
      </w:r>
      <w:r w:rsidDel="00000000" w:rsidR="00000000" w:rsidRPr="00000000">
        <w:rPr>
          <w:rtl w:val="1"/>
        </w:rPr>
        <w:t xml:space="preserve">مدارج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السالكين</w:t>
      </w:r>
      <w:r w:rsidDel="00000000" w:rsidR="00000000" w:rsidRPr="00000000">
        <w:rPr>
          <w:rtl w:val="0"/>
        </w:rPr>
        <w:t xml:space="preserve">)) (2/468، 469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الباري</w:t>
      </w:r>
      <w:r w:rsidDel="00000000" w:rsidR="00000000" w:rsidRPr="00000000">
        <w:rPr>
          <w:rtl w:val="0"/>
        </w:rPr>
        <w:t xml:space="preserve"> (1/221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0"/>
        </w:rPr>
        <w:t xml:space="preserve"> (12/384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وبدعيها</w:t>
      </w:r>
      <w:r w:rsidDel="00000000" w:rsidR="00000000" w:rsidRPr="00000000">
        <w:rPr>
          <w:rtl w:val="0"/>
        </w:rPr>
        <w:t xml:space="preserve"> (10/406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الفتاوى</w:t>
      </w:r>
      <w:r w:rsidDel="00000000" w:rsidR="00000000" w:rsidRPr="00000000">
        <w:rPr>
          <w:rtl w:val="0"/>
        </w:rPr>
        <w:t xml:space="preserve"> (10/406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1"/>
        </w:rPr>
        <w:t xml:space="preserve">وعامة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تزندق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السالكين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فلإعراضه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والفتنة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شديدة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((</w:t>
      </w:r>
      <w:r w:rsidDel="00000000" w:rsidR="00000000" w:rsidRPr="00000000">
        <w:rPr>
          <w:rtl w:val="1"/>
        </w:rPr>
        <w:t xml:space="preserve">مدارج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السالكين</w:t>
      </w:r>
      <w:r w:rsidDel="00000000" w:rsidR="00000000" w:rsidRPr="00000000">
        <w:rPr>
          <w:rtl w:val="0"/>
        </w:rPr>
        <w:t xml:space="preserve">)) (1/158)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فلسفي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وأخبرنا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المتصوفين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المتفلسفين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((</w:t>
      </w:r>
      <w:r w:rsidDel="00000000" w:rsidR="00000000" w:rsidRPr="00000000">
        <w:rPr>
          <w:rtl w:val="1"/>
        </w:rPr>
        <w:t xml:space="preserve">مدارج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السالكين</w:t>
      </w:r>
      <w:r w:rsidDel="00000000" w:rsidR="00000000" w:rsidRPr="00000000">
        <w:rPr>
          <w:rtl w:val="0"/>
        </w:rPr>
        <w:t xml:space="preserve">)) (2/468، 469)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والخضر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1"/>
        </w:rPr>
        <w:t xml:space="preserve">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الزنادقة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والأغبياء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قلوبهم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قلوبهم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فتنجلي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فيستغنون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الشرائع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جاءت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يستغني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يستتاب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الباري</w:t>
      </w:r>
      <w:r w:rsidDel="00000000" w:rsidR="00000000" w:rsidRPr="00000000">
        <w:rPr>
          <w:rtl w:val="0"/>
        </w:rPr>
        <w:t xml:space="preserve"> (1/221)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1"/>
        </w:rPr>
        <w:t xml:space="preserve">سئل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والشبابة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ويتواجد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اعتقاده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وتواجده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أفتونا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مأجورين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1"/>
        </w:rPr>
        <w:t xml:space="preserve">فقال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ومقتضى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شهادته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رمضان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مطيعا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سبحانه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فمعصية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وكرهه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بمعاصيه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بارتكاب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معصيته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الفساد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سبحانه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والسماع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لابن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قدامة</w:t>
      </w:r>
      <w:r w:rsidDel="00000000" w:rsidR="00000000" w:rsidRPr="00000000">
        <w:rPr>
          <w:rtl w:val="1"/>
        </w:rPr>
        <w:t xml:space="preserve"> ، (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18 ) .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الشاطبي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1"/>
        </w:rPr>
        <w:t xml:space="preserve">وأضعف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احتجاجا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وأمرني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الأنبياء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شرعا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rtl w:val="1"/>
        </w:rPr>
        <w:t xml:space="preserve">الاعتصام</w:t>
      </w:r>
      <w:r w:rsidDel="00000000" w:rsidR="00000000" w:rsidRPr="00000000">
        <w:rPr>
          <w:rtl w:val="1"/>
        </w:rPr>
        <w:t xml:space="preserve">)) </w:t>
      </w:r>
      <w:r w:rsidDel="00000000" w:rsidR="00000000" w:rsidRPr="00000000">
        <w:rPr>
          <w:rtl w:val="1"/>
        </w:rPr>
        <w:t xml:space="preserve">للشاطبي</w:t>
      </w:r>
      <w:r w:rsidDel="00000000" w:rsidR="00000000" w:rsidRPr="00000000">
        <w:rPr>
          <w:rtl w:val="0"/>
        </w:rPr>
        <w:t xml:space="preserve"> (1/260).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1"/>
        </w:rPr>
        <w:t xml:space="preserve">القاضي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1"/>
        </w:rPr>
        <w:t xml:space="preserve">شذ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فزعم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</w:t>
      </w:r>
      <w:r w:rsidDel="00000000" w:rsidR="00000000" w:rsidRPr="00000000">
        <w:rPr>
          <w:rtl w:val="0"/>
        </w:rPr>
        <w:t xml:space="preserve"> (12/384)</w:t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القرطبي</w:t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ويخاطبوه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1"/>
        </w:rPr>
        <w:t xml:space="preserve">أشار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رآه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اليقظة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الباري</w:t>
      </w:r>
      <w:r w:rsidDel="00000000" w:rsidR="00000000" w:rsidRPr="00000000">
        <w:rPr>
          <w:rtl w:val="0"/>
        </w:rPr>
        <w:t xml:space="preserve"> (12/384)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البدعية</w:t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وجعلوا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كراماته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أجابه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فأجابه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كراماته</w: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وبدعيها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تيمية</w:t>
      </w:r>
      <w:r w:rsidDel="00000000" w:rsidR="00000000" w:rsidRPr="00000000">
        <w:rPr>
          <w:rtl w:val="0"/>
        </w:rPr>
        <w:t xml:space="preserve"> (10/406)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عبدالبر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1"/>
        </w:rPr>
        <w:t xml:space="preserve">ويحك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والأنصار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فأجابهم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ميراثها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فأجابها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تيمية</w:t>
      </w:r>
      <w:r w:rsidDel="00000000" w:rsidR="00000000" w:rsidRPr="00000000">
        <w:rPr>
          <w:rtl w:val="0"/>
        </w:rPr>
        <w:t xml:space="preserve"> (10/406)</w:t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1"/>
        </w:rPr>
        <w:t xml:space="preserve">وحكاية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يعقوب</w:t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1"/>
        </w:rPr>
        <w:t xml:space="preserve">إسحاق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الذهبي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وإسنادها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منقطع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للذهبي</w:t>
      </w:r>
      <w:r w:rsidDel="00000000" w:rsidR="00000000" w:rsidRPr="00000000">
        <w:rPr>
          <w:rtl w:val="0"/>
        </w:rPr>
        <w:t xml:space="preserve"> (17/37-38)</w:t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السخاوي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اليقظة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لضريحه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</w:p>
    <w:p w:rsidR="00000000" w:rsidDel="00000000" w:rsidP="00000000" w:rsidRDefault="00000000" w:rsidRPr="00000000" w14:paraId="00000048">
      <w:pPr>
        <w:jc w:val="right"/>
        <w:rPr/>
      </w:pPr>
      <w:r w:rsidDel="00000000" w:rsidR="00000000" w:rsidRPr="00000000">
        <w:rPr>
          <w:rtl w:val="1"/>
        </w:rPr>
        <w:t xml:space="preserve">القسطلاني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اللدنية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السخاوي</w:t>
      </w:r>
      <w:r w:rsidDel="00000000" w:rsidR="00000000" w:rsidRPr="00000000">
        <w:rPr>
          <w:rtl w:val="0"/>
        </w:rPr>
        <w:t xml:space="preserve"> (5/295)</w:t>
      </w:r>
    </w:p>
    <w:p w:rsidR="00000000" w:rsidDel="00000000" w:rsidP="00000000" w:rsidRDefault="00000000" w:rsidRPr="00000000" w14:paraId="0000004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/>
      </w:pP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الأنصاري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يقظة</w:t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إبليس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jc w:val="right"/>
        <w:rPr/>
      </w:pP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الربوبية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الفاسدة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الماليخوليا</w:t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 288 - 289</w:t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الشقيري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والمستودعات</w:t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1"/>
        </w:rPr>
        <w:t xml:space="preserve">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ودعائها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للجيلاني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والمنبهجة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أحزابا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والتفقه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1"/>
        </w:rPr>
        <w:t xml:space="preserve">أيها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العاقل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وحزب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وحزب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الدسوقي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وحزب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وحزب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الأذكار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الخلوتية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والمرغنية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الجوشني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والجلجوتية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والبرهتية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الأحزاب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والأوراد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كاللبن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وأحزابكم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وأورادكم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كاللبن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كاللبن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ترتضيه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</w:p>
    <w:p w:rsidR="00000000" w:rsidDel="00000000" w:rsidP="00000000" w:rsidRDefault="00000000" w:rsidRPr="00000000" w14:paraId="00000053">
      <w:pPr>
        <w:jc w:val="right"/>
        <w:rPr/>
      </w:pPr>
      <w:r w:rsidDel="00000000" w:rsidR="00000000" w:rsidRPr="00000000">
        <w:rPr>
          <w:rtl w:val="1"/>
        </w:rPr>
        <w:t xml:space="preserve">السنن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والمبتدعات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بالأذكار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للشقيري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 189</w:t>
      </w:r>
    </w:p>
    <w:p w:rsidR="00000000" w:rsidDel="00000000" w:rsidP="00000000" w:rsidRDefault="00000000" w:rsidRPr="00000000" w14:paraId="0000005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