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>
          <w:rFonts w:ascii="Roboto" w:cs="Roboto" w:eastAsia="Roboto" w:hAnsi="Roboto"/>
          <w:sz w:val="26"/>
          <w:szCs w:val="26"/>
        </w:rPr>
      </w:pPr>
      <w:bookmarkStart w:colFirst="0" w:colLast="0" w:name="_iqp9nlo76t90" w:id="0"/>
      <w:bookmarkEnd w:id="0"/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برنامج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ماتشابه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للشيخ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عبدالعزيز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الطريفي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11 (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النص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المفتوح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https://www.youtube.com/watch?v=0K5J1fPRpik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شبهة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0"/>
        </w:rPr>
        <w:t xml:space="preserve"> - ٤:٢٥</w:t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٤:٢٥ - ١٢:٢٥</w:t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المنحرفة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</w:t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١٢:٢٥ - ١٨:٣٩</w:t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١٨:٣٩ - </w:t>
      </w:r>
      <w:r w:rsidDel="00000000" w:rsidR="00000000" w:rsidRPr="00000000">
        <w:rPr>
          <w:rtl w:val="1"/>
        </w:rPr>
        <w:t xml:space="preserve">النهاية</w:t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0K5J1fPRpi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