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5wi8vpuvhu8o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23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آية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الحجاب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https://www.youtube.com/watch?v=y2i9WdY00AY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الحجاب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٦:٤٣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سألتموهن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فاسألوهن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حجاب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٦:٤٣ - ١٤:٥٦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الحجاب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الإباحة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١٤:٥٦ - ٢٢:١٣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الحجاب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٢٢:١٣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2i9WdY00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