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d6rx9bi2cnm1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24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عبادة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القبور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https://www.youtube.com/watch?v=tAQSBRGjBWE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لنتخذن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مسجدا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٨:٠٢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٨:٠٢ - ١٢:٢٥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أمرهم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للبناء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١٢:٢٥ - ١٣:٥٢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الاستدلال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بصير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١٣:٥٢ - ١٧:٥٢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قبر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١٧:٥٢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AQSBRGjBW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