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18q4d39bg801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16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عصمة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النبي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صلى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وسلم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https://www.youtube.com/watch?v=h_pBIstIsFk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٨:٠٠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٨:٠٠ - ١٥:٥٨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١٥:٥٨ - ١٧:٢١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الجبلة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١٧:٢١ - ٢٤:١٠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معصوما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مواضع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٢٤:١٠ - ٢٨:٣٦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٢٨:٣٦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_pBIstIs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