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3uqghwu3x6ic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22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يريد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بكم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اليسر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https://www.youtube.com/watch?v=JXfydnKoUGE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العسر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٧:٠٠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التشريع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الصلاة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والخمر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٧:٠٠ - ١١:١٢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١١:١٢ - ١٣:٤٧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١٣:٤٧ - ٢٢:٠٠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والنهي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٢٢:٠٠ - ٢٤:٢٠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الرخص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٢٤:٢٠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XfydnKoU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