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DEL LETRADO — A COMPLETAR] (T__ F__ CPACF, CUIT [CUIT], Monotributista), letrada apoderada, mail: [MAIL — A COMPLETAR], constituyendo domicilio legal en la calle Olazabal 1515, piso 5 of. 505, CABA, y domicilio electrónico [CUIT], en los autos caratulados: </w:t>
      </w:r>
      <w:r>
        <w:rPr>
          <w:rFonts w:ascii="Arial" w:hAnsi="Arial"/>
          <w:b/>
          <w:i w:val="0"/>
          <w:sz w:val="22"/>
          <w:u w:val="none"/>
        </w:rPr>
        <w:t>"[CARÁTULA — A COMPLETAR]"</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643651 que amparaba -entre otros riesgos- por el de responsabilidad civil hacia terceros, al vehículo [VEHÍCULO — A COMPLETAR] dominio [DOMINIO — A COMPLETAR], a nombre de [ASEGURADO — A COMPLETAR], con una vigencia desde el [DESDE — A COMPLETAR] al [HASTA — A COMPLETAR] y con el límite de responsabilidad por acontecimiento establecido en las condiciones particulares ([LÍMITE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[VEHÍCULO — A COMPLETAR] dominio [DOMINIO — A COMPLETAR], se hallaba asegurado por mi representada, bajo la póliza 643651, por riesgo de "Responsabilidad Civil con límite" (hasta [LÍMITE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DEFENSA EN JUICIO DEL ASEGURADO</w:t>
      </w:r>
    </w:p>
    <w:p>
      <w:pPr>
        <w:spacing w:before="0" w:after="120"/>
        <w:jc w:val="both"/>
      </w:pPr>
      <w:r>
        <w:rPr>
          <w:rFonts w:ascii="Arial" w:hAnsi="Arial"/>
          <w:b w:val="0"/>
          <w:i w:val="0"/>
          <w:sz w:val="22"/>
          <w:u w:val="none"/>
        </w:rPr>
        <w:t>{'incluida': True, 'razon_inclusion': 'Libra es citada en garantía (tipo_intervencion = citacion_garantia)', 'asegurado_tiene_letrado_propio': False, 'texto':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pPr>
        <w:spacing w:before="200" w:after="80"/>
        <w:jc w:val="both"/>
      </w:pPr>
      <w:r>
        <w:rPr>
          <w:rFonts w:ascii="Arial" w:hAnsi="Arial"/>
          <w:b/>
          <w:i w:val="0"/>
          <w:sz w:val="22"/>
          <w:u w:val="single"/>
        </w:rPr>
        <w:t>VI.</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VII.</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Que encabezado</w:t>
      </w:r>
    </w:p>
    <w:p>
      <w:pPr>
        <w:spacing w:before="0" w:after="80"/>
        <w:jc w:val="both"/>
      </w:pPr>
      <w:r>
        <w:rPr>
          <w:rFonts w:ascii="Arial" w:hAnsi="Arial"/>
          <w:b w:val="0"/>
          <w:i w:val="0"/>
          <w:sz w:val="22"/>
          <w:u w:val="none"/>
        </w:rPr>
        <w:t>Que items</w:t>
      </w:r>
    </w:p>
    <w:p>
      <w:pPr>
        <w:spacing w:before="200" w:after="80"/>
        <w:jc w:val="both"/>
      </w:pPr>
      <w:r>
        <w:rPr>
          <w:rFonts w:ascii="Arial" w:hAnsi="Arial"/>
          <w:b/>
          <w:i w:val="0"/>
          <w:sz w:val="22"/>
          <w:u w:val="single"/>
        </w:rPr>
        <w:t>VIII.</w:t>
        <w:tab/>
        <w:t>EXCEPCIONES PREVIAS</w:t>
      </w:r>
    </w:p>
    <w:p>
      <w:pPr>
        <w:spacing w:before="0" w:after="120"/>
        <w:ind w:left="283"/>
        <w:jc w:val="both"/>
      </w:pPr>
      <w:r>
        <w:rPr>
          <w:rFonts w:ascii="Arial" w:hAnsi="Arial"/>
          <w:b w:val="0"/>
          <w:i w:val="0"/>
          <w:sz w:val="22"/>
          <w:u w:val="none"/>
        </w:rPr>
        <w:t xml:space="preserve">defecto_legal: </w:t>
      </w:r>
    </w:p>
    <w:p>
      <w:pPr>
        <w:spacing w:before="200" w:after="80"/>
        <w:jc w:val="both"/>
      </w:pPr>
      <w:r>
        <w:rPr>
          <w:rFonts w:ascii="Arial" w:hAnsi="Arial"/>
          <w:b/>
          <w:i w:val="0"/>
          <w:sz w:val="22"/>
          <w:u w:val="single"/>
        </w:rPr>
        <w:t>IX.</w:t>
        <w:tab/>
        <w:t>DEFENSA DE FONDO</w:t>
      </w:r>
    </w:p>
    <w:p>
      <w:pPr>
        <w:spacing w:before="80" w:after="80"/>
        <w:jc w:val="both"/>
      </w:pPr>
      <w:r>
        <w:rPr>
          <w:rFonts w:ascii="Arial" w:hAnsi="Arial"/>
          <w:b w:val="0"/>
          <w:i w:val="0"/>
          <w:sz w:val="22"/>
          <w:u w:val="none"/>
        </w:rPr>
      </w:r>
    </w:p>
    <w:p>
      <w:pPr>
        <w:spacing w:before="200" w:after="80"/>
        <w:jc w:val="both"/>
      </w:pPr>
      <w:r>
        <w:rPr>
          <w:rFonts w:ascii="Arial" w:hAnsi="Arial"/>
          <w:b/>
          <w:i w:val="0"/>
          <w:sz w:val="22"/>
          <w:u w:val="single"/>
        </w:rPr>
        <w:t>X.</w:t>
        <w:tab/>
        <w:t>IMPUGNACIÓN DE MONTOS RECLAMADOS</w:t>
      </w:r>
    </w:p>
    <w:p>
      <w:pPr>
        <w:spacing w:before="0" w:after="120"/>
        <w:jc w:val="both"/>
      </w:pPr>
      <w:r>
        <w:rPr>
          <w:rFonts w:ascii="Arial" w:hAnsi="Arial"/>
          <w:b w:val="0"/>
          <w:i w:val="0"/>
          <w:sz w:val="22"/>
          <w:u w:val="none"/>
        </w:rPr>
        <w:t>Sin perjuicio de la negativa general, y para el hipotético e improbable supuesto de que se admitiera parcialmente la pretensión, esta parte impugna los montos reclamados por los siguientes rubros:</w:t>
      </w:r>
    </w:p>
    <w:p>
      <w:pPr>
        <w:spacing w:before="80" w:after="80"/>
        <w:ind w:left="283"/>
        <w:jc w:val="both"/>
      </w:pPr>
      <w:r>
        <w:rPr>
          <w:rFonts w:ascii="Arial" w:hAnsi="Arial"/>
          <w:b/>
          <w:i w:val="0"/>
          <w:sz w:val="22"/>
          <w:u w:val="none"/>
        </w:rPr>
        <w:t>Incapacidad psicofísica sobreviniente y daño estético — Kumazawa</w:t>
      </w:r>
      <w:r>
        <w:rPr>
          <w:rFonts w:ascii="Arial" w:hAnsi="Arial"/>
          <w:b w:val="0"/>
          <w:i w:val="0"/>
          <w:sz w:val="22"/>
          <w:u w:val="none"/>
        </w:rPr>
        <w:t xml:space="preserve"> ($3.000.000)</w:t>
      </w:r>
      <w:r>
        <w:rPr>
          <w:rFonts w:ascii="Arial" w:hAnsi="Arial"/>
          <w:b w:val="0"/>
          <w:i w:val="0"/>
          <w:sz w:val="22"/>
          <w:u w:val="none"/>
        </w:rPr>
        <w:t xml:space="preserve">: </w:t>
      </w:r>
    </w:p>
    <w:p>
      <w:pPr>
        <w:spacing w:before="80" w:after="80"/>
        <w:ind w:left="283"/>
        <w:jc w:val="both"/>
      </w:pPr>
      <w:r>
        <w:rPr>
          <w:rFonts w:ascii="Arial" w:hAnsi="Arial"/>
          <w:b/>
          <w:i w:val="0"/>
          <w:sz w:val="22"/>
          <w:u w:val="none"/>
        </w:rPr>
        <w:t>Daño moral — Kumazawa</w:t>
      </w:r>
      <w:r>
        <w:rPr>
          <w:rFonts w:ascii="Arial" w:hAnsi="Arial"/>
          <w:b w:val="0"/>
          <w:i w:val="0"/>
          <w:sz w:val="22"/>
          <w:u w:val="none"/>
        </w:rPr>
        <w:t xml:space="preserve"> ($2.000.000)</w:t>
      </w:r>
      <w:r>
        <w:rPr>
          <w:rFonts w:ascii="Arial" w:hAnsi="Arial"/>
          <w:b w:val="0"/>
          <w:i w:val="0"/>
          <w:sz w:val="22"/>
          <w:u w:val="none"/>
        </w:rPr>
        <w:t xml:space="preserve">: </w:t>
      </w:r>
    </w:p>
    <w:p>
      <w:pPr>
        <w:spacing w:before="80" w:after="80"/>
        <w:ind w:left="283"/>
        <w:jc w:val="both"/>
      </w:pPr>
      <w:r>
        <w:rPr>
          <w:rFonts w:ascii="Arial" w:hAnsi="Arial"/>
          <w:b/>
          <w:i w:val="0"/>
          <w:sz w:val="22"/>
          <w:u w:val="none"/>
        </w:rPr>
        <w:t>Gastos terapéuticos y tratamiento psicológico — Kumazawa</w:t>
      </w:r>
      <w:r>
        <w:rPr>
          <w:rFonts w:ascii="Arial" w:hAnsi="Arial"/>
          <w:b w:val="0"/>
          <w:i w:val="0"/>
          <w:sz w:val="22"/>
          <w:u w:val="none"/>
        </w:rPr>
        <w:t xml:space="preserve"> ($500.000)</w:t>
      </w:r>
      <w:r>
        <w:rPr>
          <w:rFonts w:ascii="Arial" w:hAnsi="Arial"/>
          <w:b w:val="0"/>
          <w:i w:val="0"/>
          <w:sz w:val="22"/>
          <w:u w:val="none"/>
        </w:rPr>
        <w:t xml:space="preserve">: </w:t>
      </w:r>
    </w:p>
    <w:p>
      <w:pPr>
        <w:spacing w:before="80" w:after="80"/>
        <w:ind w:left="283"/>
        <w:jc w:val="both"/>
      </w:pPr>
      <w:r>
        <w:rPr>
          <w:rFonts w:ascii="Arial" w:hAnsi="Arial"/>
          <w:b/>
          <w:i w:val="0"/>
          <w:sz w:val="22"/>
          <w:u w:val="none"/>
        </w:rPr>
        <w:t>Incapacidad psicofísica sobreviniente y daño estético — Gavilán</w:t>
      </w:r>
      <w:r>
        <w:rPr>
          <w:rFonts w:ascii="Arial" w:hAnsi="Arial"/>
          <w:b w:val="0"/>
          <w:i w:val="0"/>
          <w:sz w:val="22"/>
          <w:u w:val="none"/>
        </w:rPr>
        <w:t xml:space="preserve"> ($2.000.000)</w:t>
      </w:r>
      <w:r>
        <w:rPr>
          <w:rFonts w:ascii="Arial" w:hAnsi="Arial"/>
          <w:b w:val="0"/>
          <w:i w:val="0"/>
          <w:sz w:val="22"/>
          <w:u w:val="none"/>
        </w:rPr>
        <w:t xml:space="preserve">: </w:t>
      </w:r>
    </w:p>
    <w:p>
      <w:pPr>
        <w:spacing w:before="80" w:after="80"/>
        <w:ind w:left="283"/>
        <w:jc w:val="both"/>
      </w:pPr>
      <w:r>
        <w:rPr>
          <w:rFonts w:ascii="Arial" w:hAnsi="Arial"/>
          <w:b/>
          <w:i w:val="0"/>
          <w:sz w:val="22"/>
          <w:u w:val="none"/>
        </w:rPr>
        <w:t>Daño moral — Gavilán</w:t>
      </w:r>
      <w:r>
        <w:rPr>
          <w:rFonts w:ascii="Arial" w:hAnsi="Arial"/>
          <w:b w:val="0"/>
          <w:i w:val="0"/>
          <w:sz w:val="22"/>
          <w:u w:val="none"/>
        </w:rPr>
        <w:t xml:space="preserve"> ($1.000.000)</w:t>
      </w:r>
      <w:r>
        <w:rPr>
          <w:rFonts w:ascii="Arial" w:hAnsi="Arial"/>
          <w:b w:val="0"/>
          <w:i w:val="0"/>
          <w:sz w:val="22"/>
          <w:u w:val="none"/>
        </w:rPr>
        <w:t xml:space="preserve">: </w:t>
      </w:r>
    </w:p>
    <w:p>
      <w:pPr>
        <w:spacing w:before="80" w:after="80"/>
        <w:ind w:left="283"/>
        <w:jc w:val="both"/>
      </w:pPr>
      <w:r>
        <w:rPr>
          <w:rFonts w:ascii="Arial" w:hAnsi="Arial"/>
          <w:b/>
          <w:i w:val="0"/>
          <w:sz w:val="22"/>
          <w:u w:val="none"/>
        </w:rPr>
        <w:t>Gastos terapéuticos y tratamiento psicológico — Gavilán</w:t>
      </w:r>
      <w:r>
        <w:rPr>
          <w:rFonts w:ascii="Arial" w:hAnsi="Arial"/>
          <w:b w:val="0"/>
          <w:i w:val="0"/>
          <w:sz w:val="22"/>
          <w:u w:val="none"/>
        </w:rPr>
        <w:t xml:space="preserve"> ($500.000)</w:t>
      </w:r>
      <w:r>
        <w:rPr>
          <w:rFonts w:ascii="Arial" w:hAnsi="Arial"/>
          <w:b w:val="0"/>
          <w:i w:val="0"/>
          <w:sz w:val="22"/>
          <w:u w:val="none"/>
        </w:rPr>
        <w:t xml:space="preserve">: </w:t>
      </w:r>
    </w:p>
    <w:p>
      <w:pPr>
        <w:spacing w:before="200" w:after="80"/>
        <w:jc w:val="both"/>
      </w:pPr>
      <w:r>
        <w:rPr>
          <w:rFonts w:ascii="Arial" w:hAnsi="Arial"/>
          <w:b/>
          <w:i w:val="0"/>
          <w:sz w:val="22"/>
          <w:u w:val="single"/>
        </w:rPr>
        <w:t>XI.</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Póliza N° 643651 emitida por Libra Compañía Argentina de Seguros S.A. con todas sus condiciones generales, particulares y especiales vigentes al 24/10/2023</w:t>
      </w:r>
    </w:p>
    <w:p>
      <w:pPr>
        <w:spacing w:before="0" w:after="60"/>
        <w:ind w:left="283"/>
        <w:jc w:val="both"/>
      </w:pPr>
      <w:r>
        <w:rPr>
          <w:rFonts w:ascii="Arial" w:hAnsi="Arial"/>
          <w:b w:val="0"/>
          <w:i w:val="0"/>
          <w:sz w:val="22"/>
          <w:u w:val="none"/>
        </w:rPr>
        <w:t>Actuaciones del expediente de siniestros de Libra Compañía Argentina de Seguros S.A. vinculado al vehículo KLR774</w:t>
      </w:r>
    </w:p>
    <w:p>
      <w:pPr>
        <w:spacing w:before="0" w:after="60"/>
        <w:ind w:left="283"/>
        <w:jc w:val="both"/>
      </w:pPr>
      <w:r>
        <w:rPr>
          <w:rFonts w:ascii="Arial" w:hAnsi="Arial"/>
          <w:b w:val="0"/>
          <w:i w:val="0"/>
          <w:sz w:val="22"/>
          <w:u w:val="none"/>
        </w:rPr>
        <w:t>Toda documentación adicional que surja del expediente de siniestros y resulte conducente</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DNRPA: titularidad dominial histórica del automotor Fiat Fiorino KLR774 al 24/10/2023 y datos del conductor al momento del hecho</w:t>
      </w:r>
    </w:p>
    <w:p>
      <w:pPr>
        <w:spacing w:before="0" w:after="60"/>
        <w:ind w:left="283"/>
        <w:jc w:val="both"/>
      </w:pPr>
      <w:r>
        <w:rPr>
          <w:rFonts w:ascii="Arial" w:hAnsi="Arial"/>
          <w:b w:val="0"/>
          <w:i w:val="0"/>
          <w:sz w:val="22"/>
          <w:u w:val="none"/>
        </w:rPr>
        <w:t>A la UFI Departamental Morón: estado y contenido de la causa penal 'Lesiones Culposas', imputado Olmedo González Marcial, fecha 24/10/2023</w:t>
      </w:r>
    </w:p>
    <w:p>
      <w:pPr>
        <w:spacing w:before="0" w:after="60"/>
        <w:ind w:left="283"/>
        <w:jc w:val="both"/>
      </w:pPr>
      <w:r>
        <w:rPr>
          <w:rFonts w:ascii="Arial" w:hAnsi="Arial"/>
          <w:b w:val="0"/>
          <w:i w:val="0"/>
          <w:sz w:val="22"/>
          <w:u w:val="none"/>
        </w:rPr>
        <w:t>Al Hospital Héroes de Malvinas: historia clínica y datos de atención médica de los actores Kumazawa y Gavilán (a confirmar la atención denunciada)</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médica (contrapericia): determinar las lesiones reales de cada actor, los porcentajes de incapacidad psicofísica permanente con los baremos correspondientes, el carácter permanente o transitorio de las secuelas y la necesidad y costo de tratamientos futuros</w:t>
      </w:r>
    </w:p>
    <w:p>
      <w:pPr>
        <w:spacing w:before="0" w:after="60"/>
        <w:ind w:left="283"/>
        <w:jc w:val="both"/>
      </w:pPr>
      <w:r>
        <w:rPr>
          <w:rFonts w:ascii="Arial" w:hAnsi="Arial"/>
          <w:b w:val="0"/>
          <w:i w:val="0"/>
          <w:sz w:val="22"/>
          <w:u w:val="none"/>
        </w:rPr>
        <w:t>Pericial psicológica (contrapericia): determinar la incapacidad psicológica de cada actor, la relación de causalidad entre el hecho y los trastornos descriptos y el costo de tratamientos futuros</w:t>
      </w:r>
    </w:p>
    <w:p>
      <w:pPr>
        <w:spacing w:before="0" w:after="60"/>
        <w:ind w:left="283"/>
        <w:jc w:val="both"/>
      </w:pPr>
      <w:r>
        <w:rPr>
          <w:rFonts w:ascii="Arial" w:hAnsi="Arial"/>
          <w:b w:val="0"/>
          <w:i w:val="0"/>
          <w:sz w:val="22"/>
          <w:u w:val="none"/>
        </w:rPr>
        <w:t>Pericial accidentológica vial: determinar la mecánica del accidente, la velocidad de ambos vehículos al momento del impacto, la calidad de embistente y embestido, y la posible contribución causal de los actores</w:t>
      </w:r>
    </w:p>
    <w:p>
      <w:pPr>
        <w:spacing w:before="120" w:after="60"/>
        <w:jc w:val="both"/>
      </w:pPr>
      <w:r>
        <w:rPr>
          <w:rFonts w:ascii="Arial" w:hAnsi="Arial"/>
          <w:b/>
          <w:i w:val="0"/>
          <w:sz w:val="22"/>
          <w:u w:val="single"/>
        </w:rPr>
        <w:t>E) PRUEBA CONFESIONAL</w:t>
      </w:r>
    </w:p>
    <w:p>
      <w:pPr>
        <w:spacing w:before="200" w:after="80"/>
        <w:jc w:val="both"/>
      </w:pPr>
      <w:r>
        <w:rPr>
          <w:rFonts w:ascii="Arial" w:hAnsi="Arial"/>
          <w:b/>
          <w:i w:val="0"/>
          <w:sz w:val="22"/>
          <w:u w:val="single"/>
        </w:rPr>
        <w:t>XII.</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XIII.</w:t>
        <w:tab/>
        <w:t>PETITORIO</w:t>
      </w:r>
    </w:p>
    <w:p>
      <w:pPr>
        <w:spacing w:before="0" w:after="120"/>
        <w:jc w:val="both"/>
      </w:pPr>
      <w:r>
        <w:rPr>
          <w:rFonts w:ascii="Arial" w:hAnsi="Arial"/>
          <w:b w:val="0"/>
          <w:i w:val="0"/>
          <w:sz w:val="22"/>
          <w:u w:val="none"/>
        </w:rPr>
        <w:t>Atento lo expuesto, solicito a V.S.:</w:t>
        <w:br/>
        <w:t>1.- Me tenga por presentado, parte en el carácter invocado, y por constituido el domicilio legal.</w:t>
        <w:br/>
        <w:t>2.- Por contestada la citación en garantía en legal tiempo y forma.</w:t>
        <w:br/>
        <w:t>3.- Por ofrecida la prueba.</w:t>
        <w:br/>
        <w:t>4.- Por introducida la cuestión federal.</w:t>
        <w:br/>
        <w:t>5.- Oportunamente se rechace la demanda con costas.</w:t>
        <w:br/>
        <w:t>6.- Se tengan presentes las autorizaciones conferidas.</w:t>
        <w:br/>
        <w:br/>
        <w:t>Proveer de conformidad,</w:t>
        <w:br/>
        <w:t>SERÁ JUSTICIA.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