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b/>
          <w:sz w:val="24"/>
        </w:rPr>
        <w:t>CONTESTA DEMANDA EN CALIDAD DE CITADA EN GARANTÍA — OPONE EXCEPCIONES Y DEFENSAS</w:t>
      </w:r>
    </w:p>
    <w:p>
      <w:pPr>
        <w:spacing w:after="120"/>
      </w:pPr>
      <w:r>
        <w:rPr>
          <w:rFonts w:ascii="Arial" w:hAnsi="Arial"/>
          <w:b w:val="0"/>
          <w:sz w:val="22"/>
        </w:rPr>
        <w:t>Señor Juez:</w:t>
      </w:r>
    </w:p>
    <w:p>
      <w:pPr>
        <w:spacing w:after="120"/>
      </w:pPr>
      <w:r>
        <w:rPr>
          <w:rFonts w:ascii="Arial" w:hAnsi="Arial"/>
          <w:b w:val="0"/>
          <w:sz w:val="22"/>
        </w:rPr>
        <w:t>Señor/a Juez/a:</w:t>
        <w:br/>
        <w:br/>
        <w:t>[LETRADO/A], en nombre y representación de LIBRA COMPAÑÍA ARGENTINA DE SEGUROS S.A. (en adelante 'Libra' o 'la aseguradora'), en autos caratulados 'ASOCIART S.A. ART c/ ROJAS, JUAN CARLOS Y OTRO s/ COBRO DE SUMAS DE DINERO', comparece en calidad de CITADA EN GARANTÍA en los términos del art. 118 de la Ley 17.418 y a V.S. respetuosamente dice:</w:t>
      </w:r>
    </w:p>
    <w:p>
      <w:pPr>
        <w:spacing w:before="160" w:after="80"/>
      </w:pPr>
      <w:r>
        <w:rPr>
          <w:rFonts w:ascii="Arial" w:hAnsi="Arial"/>
          <w:b/>
          <w:sz w:val="22"/>
        </w:rPr>
        <w:t xml:space="preserve">-I.- (Personería) </w:t>
      </w:r>
      <w:r>
        <w:rPr>
          <w:rFonts w:ascii="Arial" w:hAnsi="Arial"/>
          <w:b w:val="0"/>
          <w:sz w:val="22"/>
        </w:rPr>
        <w:t>Que conforme surge de la copia simple de poder general judicial acompañado, soy apoderado de Libra Cía. Argentina de Seguros S.A. con domicilio real en la calle Olazábal 1515, piso 11, Oficina 11, Ciudad Autónoma de Buenos Aires. En tal carácter, solicito tenerme por presentado y parte en el carácter invocado y constituido el domicilio procesal indicado.</w:t>
      </w:r>
    </w:p>
    <w:p>
      <w:pPr>
        <w:spacing w:before="160" w:after="80"/>
      </w:pPr>
      <w:r>
        <w:rPr>
          <w:rFonts w:ascii="Arial" w:hAnsi="Arial"/>
          <w:b/>
          <w:sz w:val="22"/>
        </w:rPr>
        <w:t xml:space="preserve">-II.- (Exordio) </w:t>
      </w:r>
      <w:r>
        <w:rPr>
          <w:rFonts w:ascii="Arial" w:hAnsi="Arial"/>
          <w:b w:val="0"/>
          <w:sz w:val="22"/>
        </w:rPr>
        <w:t>Que siguiendo expresas instrucciones de mi mandante sobre el particular, vengo a contestar la demanda entablada, solicitando el rechazo de la misma con expresa imposición de costas.</w:t>
      </w:r>
    </w:p>
    <w:p/>
    <w:p>
      <w:r>
        <w:rPr>
          <w:rFonts w:ascii="Arial" w:hAnsi="Arial"/>
          <w:b/>
          <w:sz w:val="22"/>
        </w:rPr>
        <w:t xml:space="preserve">-III.- (Documentación) </w:t>
      </w:r>
      <w:r>
        <w:rPr>
          <w:rFonts w:ascii="Arial" w:hAnsi="Arial"/>
          <w:b w:val="0"/>
          <w:sz w:val="22"/>
        </w:rPr>
        <w:t>Por el presente hago saber que desconozco por no constarme, ni haber emanado de mi mandante la totalidad de la documentación reseñada en la demanda.</w:t>
      </w:r>
    </w:p>
    <w:p>
      <w:pPr>
        <w:spacing w:before="160" w:after="80"/>
      </w:pPr>
      <w:r>
        <w:rPr>
          <w:rFonts w:ascii="Arial" w:hAnsi="Arial"/>
          <w:b/>
          <w:sz w:val="22"/>
        </w:rPr>
        <w:t xml:space="preserve">-IV.- (Negativas) </w:t>
      </w:r>
      <w:r>
        <w:rPr>
          <w:rFonts w:ascii="Arial" w:hAnsi="Arial"/>
          <w:b w:val="0"/>
          <w:sz w:val="22"/>
        </w:rPr>
        <w:t>I.- NEGATIVA GENERAL.</w:t>
        <w:br/>
        <w:br/>
        <w:t>Esta parte niega todos y cada uno de los hechos expuestos en la demanda que no sean objeto de expreso reconocimiento en el presente escrito, en particular niega que existan los presupuestos de hecho invocados para hacer extensiva la condena a esta citada en garantía. La negativa alcanza especialmente a la existencia, vigencia, alcance y condiciones de la póliza de seguro que se atribuye a Libra, que deberá ser acreditada en autos por quien la invoca.</w:t>
      </w:r>
    </w:p>
    <w:p>
      <w:r>
        <w:rPr>
          <w:rFonts w:ascii="Arial" w:hAnsi="Arial"/>
          <w:b w:val="0"/>
          <w:sz w:val="22"/>
        </w:rPr>
        <w:t>Sin perjuicio de esa negativa general, también niego categóricamente:</w:t>
      </w:r>
    </w:p>
    <w:p>
      <w:pPr>
        <w:ind w:left="283"/>
      </w:pPr>
      <w:r>
        <w:rPr>
          <w:rFonts w:ascii="Arial" w:hAnsi="Arial"/>
          <w:b w:val="0"/>
          <w:sz w:val="22"/>
        </w:rPr>
        <w:t>1. Que Asociart es una ART que celebró contrato de SRT con Edenor S.A. y que el trabajador Cabito Guido Hernán estaba incluido en la nómina cubierta.. (DESCONOZCO) Esta parte desconoce los términos del contrato de seguro de riesgos del trabajo entre Asociart S.A. ART y Edenor S.A. (CUIT 30-65511620-2), así como los detalles de la nómina del personal cubierto por ese contrato. Son hechos propios de</w:t>
      </w:r>
    </w:p>
    <w:p>
      <w:pPr>
        <w:ind w:left="283"/>
      </w:pPr>
      <w:r>
        <w:rPr>
          <w:rFonts w:ascii="Arial" w:hAnsi="Arial"/>
          <w:b w:val="0"/>
          <w:sz w:val="22"/>
        </w:rPr>
        <w:t>2. Que El trabajador Cabito sufrió un accidente de trabajo in itinere el 08/01/2024 en Av. General Paz a la altura de Nazarre, CABA, cuando fue embestido por el taxi Chevrolet Classic MDP 995 conducido por Rojas.. (NIEGO) Se niega la mecánica del accidente tal como fue relatada por el actor. Esta parte no contaba con representación en el lugar ni participó en la investigación del hecho. En particu</w:t>
      </w:r>
    </w:p>
    <w:p>
      <w:pPr>
        <w:ind w:left="283"/>
      </w:pPr>
      <w:r>
        <w:rPr>
          <w:rFonts w:ascii="Arial" w:hAnsi="Arial"/>
          <w:b w:val="0"/>
          <w:sz w:val="22"/>
        </w:rPr>
        <w:t>3. Que El trabajador Cabito circulaba reglamentariamente por el carril derecho y fue violentamente embestido por la maniobra brusca del taxi.. (NIEGO) Se niega que el trabajador Cabito circulara en condiciones estrictamente reglamentarias y se niega que la responsabilidad del accidente sea exclusiva del demandado Rojas. La causa penal en trámite investigará las circunstancias precisas del hecho. E</w:t>
      </w:r>
    </w:p>
    <w:p>
      <w:pPr>
        <w:ind w:left="283"/>
      </w:pPr>
      <w:r>
        <w:rPr>
          <w:rFonts w:ascii="Arial" w:hAnsi="Arial"/>
          <w:b w:val="0"/>
          <w:sz w:val="22"/>
        </w:rPr>
        <w:t xml:space="preserve">4. Que El trabajador Cabito sufrió lesiones en columna cervical y lumbar con incapacidad laboral permanente parcial del 22% (12% física + 10% psíquica).. (DESCONOZCO) Esta parte desconoce el diagnóstico y el grado de incapacidad del trabajador Cabito, los cuales surgen de actuaciones en las que Libra no fue parte (Expte. 45378/2024, JNTrab Nº 63, y expediente SRT 128193/24). Se reserva el derecho </w:t>
      </w:r>
    </w:p>
    <w:p>
      <w:pPr>
        <w:ind w:left="283"/>
      </w:pPr>
      <w:r>
        <w:rPr>
          <w:rFonts w:ascii="Arial" w:hAnsi="Arial"/>
          <w:b w:val="0"/>
          <w:sz w:val="22"/>
        </w:rPr>
        <w:t>5. Que Asociart abonó prestaciones en especie por $375.678,22, ILT por $629.573,08 e ILP/pagos en juicio por $38.787.076, totalizando $39.792.327,30.. (DESCONOZCO) Esta parte desconoce las erogaciones realizadas por Asociart S.A. ART. Los montos invocados no han sido acreditados mediante documentación fehaciente en los términos exigidos para fundar la acción de repetición. En particular se niega q</w:t>
      </w:r>
    </w:p>
    <w:p>
      <w:pPr>
        <w:ind w:left="283"/>
      </w:pPr>
      <w:r>
        <w:rPr>
          <w:rFonts w:ascii="Arial" w:hAnsi="Arial"/>
          <w:b w:val="0"/>
          <w:sz w:val="22"/>
        </w:rPr>
        <w:t>6. Que El demandado Rojas tiene póliza de seguro con Libra Compañía Argentina de Seguros S.A. que cubre el automotor MDP 995.. (DESCONOZCO) [REVISAR — ver nota: si la póliza existe, reformular como reconocimiento con reserva de condiciones. Si no existe, reformular como negativa lisa y llana.] Esta parte niega y/o desconoce la existencia, vigencia, alcance y condiciones de la póliza que el actor a</w:t>
      </w:r>
    </w:p>
    <w:p>
      <w:pPr>
        <w:ind w:left="283"/>
      </w:pPr>
      <w:r>
        <w:rPr>
          <w:rFonts w:ascii="Arial" w:hAnsi="Arial"/>
          <w:b w:val="0"/>
          <w:sz w:val="22"/>
        </w:rPr>
        <w:t>7. Que Asociart tiene legitimación activa por el art. 39 inc. 5 LRT para reclamar la repetición de las prestaciones pagadas.. (NIEGO) Se niega que la acción de repetición del art. 39 inc. 5 Ley 24.557 incluya el recupero de costas judiciales correspondientes a un proceso (Expte. 45378/2024) en el que el tercero responsable ni su aseguradora fueron parte. La acción de repetición habilita el recuper</w:t>
      </w:r>
    </w:p>
    <w:p>
      <w:pPr>
        <w:spacing w:before="160"/>
      </w:pPr>
      <w:r>
        <w:rPr>
          <w:rFonts w:ascii="Arial" w:hAnsi="Arial"/>
          <w:b w:val="0"/>
          <w:sz w:val="22"/>
        </w:rPr>
        <w:t>II.- VERSIÓN DE LA CITADA EN GARANTÍA SOBRE LOS HECHOS.</w:t>
        <w:br/>
        <w:br/>
        <w:t>Esta parte, sin perjuicio de las negativas formuladas y sujeto a la prueba a producirse en autos, expone los siguientes datos relevantes sobre el siniestro:</w:t>
        <w:br/>
        <w:br/>
        <w:t>Según surge de la demanda, el accidente ocurrió el día 8 de enero de 2024 en la Avenida General Paz de esta ciudad, entre una motocicleta conducida por el Sr. Cabito Guido Hernán y el automóvil Chevrolet Classic Dominio MDP 995. La dinámica exacta del accidente, en particular las velocidades de los vehículos, el estado de las señalizaciones, la conducta de ambos conductores, y las condiciones de visibilidad, deberán ser determinadas a través de la pericia accidentológica a producirse en autos y mediante las actuaciones que surjan de la causa penal identificada como DEN 1128930/M</w:t>
      </w:r>
    </w:p>
    <w:p>
      <w:pPr>
        <w:spacing w:before="160"/>
      </w:pPr>
      <w:r>
        <w:rPr>
          <w:rFonts w:ascii="Arial" w:hAnsi="Arial"/>
          <w:b/>
          <w:sz w:val="22"/>
        </w:rPr>
        <w:t xml:space="preserve">-V.- (Excepciones previas) </w:t>
      </w:r>
    </w:p>
    <w:p>
      <w:pPr>
        <w:ind w:left="567"/>
      </w:pPr>
      <w:r>
        <w:rPr>
          <w:rFonts w:ascii="Arial" w:hAnsi="Arial"/>
          <w:b w:val="0"/>
          <w:sz w:val="22"/>
        </w:rPr>
        <w:t xml:space="preserve">• falta_legitimacion_pasiva: </w:t>
      </w:r>
    </w:p>
    <w:p>
      <w:pPr>
        <w:spacing w:before="160"/>
      </w:pPr>
      <w:r>
        <w:rPr>
          <w:rFonts w:ascii="Arial" w:hAnsi="Arial"/>
          <w:b/>
          <w:sz w:val="22"/>
        </w:rPr>
        <w:t xml:space="preserve">-VI.- (Defensas de fondo) </w:t>
      </w:r>
    </w:p>
    <w:p>
      <w:pPr>
        <w:spacing w:before="80"/>
        <w:ind w:left="283"/>
      </w:pPr>
      <w:r>
        <w:rPr>
          <w:rFonts w:ascii="Arial" w:hAnsi="Arial"/>
          <w:b w:val="0"/>
          <w:sz w:val="22"/>
        </w:rPr>
        <w:t xml:space="preserve">. </w:t>
      </w:r>
    </w:p>
    <w:p>
      <w:pPr>
        <w:spacing w:before="80"/>
        <w:ind w:left="283"/>
      </w:pPr>
      <w:r>
        <w:rPr>
          <w:rFonts w:ascii="Arial" w:hAnsi="Arial"/>
          <w:b w:val="0"/>
          <w:sz w:val="22"/>
        </w:rPr>
        <w:t xml:space="preserve">. </w:t>
      </w:r>
    </w:p>
    <w:p>
      <w:pPr>
        <w:spacing w:before="80"/>
        <w:ind w:left="283"/>
      </w:pPr>
      <w:r>
        <w:rPr>
          <w:rFonts w:ascii="Arial" w:hAnsi="Arial"/>
          <w:b w:val="0"/>
          <w:sz w:val="22"/>
        </w:rPr>
        <w:t xml:space="preserve">. </w:t>
      </w:r>
    </w:p>
    <w:p>
      <w:pPr>
        <w:spacing w:before="80"/>
        <w:ind w:left="283"/>
      </w:pPr>
      <w:r>
        <w:rPr>
          <w:rFonts w:ascii="Arial" w:hAnsi="Arial"/>
          <w:b w:val="0"/>
          <w:sz w:val="22"/>
        </w:rPr>
        <w:t xml:space="preserve">. </w:t>
      </w:r>
    </w:p>
    <w:p>
      <w:pPr>
        <w:spacing w:before="160"/>
      </w:pPr>
      <w:r>
        <w:rPr>
          <w:rFonts w:ascii="Arial" w:hAnsi="Arial"/>
          <w:b/>
          <w:sz w:val="22"/>
        </w:rPr>
        <w:t xml:space="preserve">-VII.- (Límite de cobertura) </w:t>
      </w:r>
      <w:r>
        <w:rPr>
          <w:rFonts w:ascii="Arial" w:hAnsi="Arial"/>
          <w:b w:val="0"/>
          <w:sz w:val="22"/>
        </w:rPr>
        <w:t>La responsabilidad de mi mandante se limita a la suma asegurada de [A completar con datos de la póliza del vehículo MDP 995], conforme art. 118 Ley 17.418.</w:t>
      </w:r>
    </w:p>
    <w:p>
      <w:pPr>
        <w:spacing w:before="160"/>
      </w:pPr>
      <w:r>
        <w:rPr>
          <w:rFonts w:ascii="Arial" w:hAnsi="Arial"/>
          <w:b/>
          <w:sz w:val="22"/>
        </w:rPr>
        <w:t xml:space="preserve">-VIII.- (Reserva del Caso Federal) </w:t>
      </w:r>
      <w:r>
        <w:rPr>
          <w:rFonts w:ascii="Arial" w:hAnsi="Arial"/>
          <w:b w:val="0"/>
          <w:sz w:val="22"/>
        </w:rPr>
        <w:t xml:space="preserve">Esta parte formula reserva del Caso Federal para el eventual e improbable supuesto de una sentencia contraria a los derechos e intereses de Libra Compañía Argentina de Seguros S.A., para ocurrir en su oportunidad ante la Corte Suprema de Justicia de la Nación por la vía del recurso extraordinario previsto en el art. 14 de la Ley 48, por encontrarse en juego la correcta interpretación y aplicación </w:t>
      </w:r>
    </w:p>
    <w:p>
      <w:pPr>
        <w:spacing w:before="200"/>
      </w:pPr>
      <w:r>
        <w:rPr>
          <w:rFonts w:ascii="Arial" w:hAnsi="Arial"/>
          <w:b/>
          <w:sz w:val="22"/>
        </w:rPr>
        <w:t xml:space="preserve">-IX.- (Prueba) </w:t>
      </w:r>
    </w:p>
    <w:p>
      <w:pPr>
        <w:ind w:left="283"/>
      </w:pPr>
      <w:r>
        <w:rPr>
          <w:rFonts w:ascii="Arial" w:hAnsi="Arial"/>
          <w:b/>
          <w:sz w:val="22"/>
        </w:rPr>
        <w:t xml:space="preserve">DOCUMENTAL: </w:t>
      </w:r>
    </w:p>
    <w:p>
      <w:pPr>
        <w:ind w:left="850"/>
      </w:pPr>
      <w:r>
        <w:rPr>
          <w:rFonts w:ascii="Arial" w:hAnsi="Arial"/>
          <w:b w:val="0"/>
          <w:sz w:val="22"/>
        </w:rPr>
        <w:t>• Copia de la póliza de seguros de RC Auto del automotor Chevrolet Classic Dominio MDP 995 (número a completar), con sus condiciones generales, particulares y especiales vigentes al 08/01/2024 [a adjunt</w:t>
      </w:r>
    </w:p>
    <w:p>
      <w:pPr>
        <w:ind w:left="850"/>
      </w:pPr>
      <w:r>
        <w:rPr>
          <w:rFonts w:ascii="Arial" w:hAnsi="Arial"/>
          <w:b w:val="0"/>
          <w:sz w:val="22"/>
        </w:rPr>
        <w:t>• Poder del letrado presentante</w:t>
      </w:r>
    </w:p>
    <w:p>
      <w:pPr>
        <w:ind w:left="850"/>
      </w:pPr>
      <w:r>
        <w:rPr>
          <w:rFonts w:ascii="Arial" w:hAnsi="Arial"/>
          <w:b w:val="0"/>
          <w:sz w:val="22"/>
        </w:rPr>
        <w:t>• Toda otra documental que se incorpore al momento de presentar la contestación o que se descubra con posterioridad conforme art. 335 CPCyCN</w:t>
      </w:r>
    </w:p>
    <w:p>
      <w:pPr>
        <w:ind w:left="283"/>
      </w:pPr>
      <w:r>
        <w:rPr>
          <w:rFonts w:ascii="Arial" w:hAnsi="Arial"/>
          <w:b/>
          <w:sz w:val="22"/>
        </w:rPr>
        <w:t xml:space="preserve">INFORMATIVA: </w:t>
      </w:r>
    </w:p>
    <w:p>
      <w:pPr>
        <w:ind w:left="850"/>
      </w:pPr>
      <w:r>
        <w:rPr>
          <w:rFonts w:ascii="Arial" w:hAnsi="Arial"/>
          <w:b w:val="0"/>
          <w:sz w:val="22"/>
        </w:rPr>
        <w:t xml:space="preserve">• A la Dirección Nacional del Registro de la Propiedad Automotor / Seccional correspondiente: informe sobre el titular registral del automotor Chevrolet Classic Dominio MDP 995 al 08/01/2024 y datos de </w:t>
      </w:r>
    </w:p>
    <w:p>
      <w:pPr>
        <w:ind w:left="850"/>
      </w:pPr>
      <w:r>
        <w:rPr>
          <w:rFonts w:ascii="Arial" w:hAnsi="Arial"/>
          <w:b w:val="0"/>
          <w:sz w:val="22"/>
        </w:rPr>
        <w:t>• A la UFDCyFE / Unidad Fiscal Oeste del Ministerio Público Fiscal CABA: remisión ad effectum videndi et probandi de las actuaciones de la causa penal DEN 1128930/MPF 958902 (Sumario 13698/2024) por Les</w:t>
      </w:r>
    </w:p>
    <w:p>
      <w:pPr>
        <w:ind w:left="850"/>
      </w:pPr>
      <w:r>
        <w:rPr>
          <w:rFonts w:ascii="Arial" w:hAnsi="Arial"/>
          <w:b w:val="0"/>
          <w:sz w:val="22"/>
        </w:rPr>
        <w:t>• Al Juzgado Nacional de Primera Instancia del Trabajo Nº 63: remisión ad effectum videndi et probandi de las actuaciones del expediente 'CABITO GUIDO HERNÁN C/ ASOCIART S.A. ART S/ RECURSO LEY 27348' (</w:t>
      </w:r>
    </w:p>
    <w:p>
      <w:pPr>
        <w:ind w:left="850"/>
      </w:pPr>
      <w:r>
        <w:rPr>
          <w:rFonts w:ascii="Arial" w:hAnsi="Arial"/>
          <w:b w:val="0"/>
          <w:sz w:val="22"/>
        </w:rPr>
        <w:t>• A la Superintendencia de Riesgos del Trabajo: remisión del Expediente SRT 128193/24 y toda documentación relacionada al accidente de trabajo del 08/01/2024 sufrido por Cabito Guido Hernán (DNI 34.148.</w:t>
      </w:r>
    </w:p>
    <w:p>
      <w:pPr>
        <w:ind w:left="283"/>
      </w:pPr>
      <w:r>
        <w:rPr>
          <w:rFonts w:ascii="Arial" w:hAnsi="Arial"/>
          <w:b/>
          <w:sz w:val="22"/>
        </w:rPr>
        <w:t xml:space="preserve">PERICIAL: </w:t>
      </w:r>
    </w:p>
    <w:p>
      <w:pPr>
        <w:ind w:left="850"/>
      </w:pPr>
      <w:r>
        <w:rPr>
          <w:rFonts w:ascii="Arial" w:hAnsi="Arial"/>
          <w:b w:val="0"/>
          <w:sz w:val="22"/>
        </w:rPr>
        <w:t xml:space="preserve">• Pericia accidentológica: a cargo de perito único de oficio, para que dictamine sobre la mecánica del accidente del 08/01/2024, la dinámica de la colisión entre el taxi MDP 995 y la motocicleta Honda, </w:t>
      </w:r>
    </w:p>
    <w:p>
      <w:pPr>
        <w:ind w:left="850"/>
      </w:pPr>
      <w:r>
        <w:rPr>
          <w:rFonts w:ascii="Arial" w:hAnsi="Arial"/>
          <w:b w:val="0"/>
          <w:sz w:val="22"/>
        </w:rPr>
        <w:t>• Pericia médica: a cargo de perito médico único de oficio, para que evalúe las lesiones del trabajador Cabito, su relación causal con el accidente de autos, y el porcentaje de incapacidad laboral real,</w:t>
      </w:r>
    </w:p>
    <w:p>
      <w:pPr>
        <w:ind w:left="850"/>
      </w:pPr>
      <w:r>
        <w:rPr>
          <w:rFonts w:ascii="Arial" w:hAnsi="Arial"/>
          <w:b w:val="0"/>
          <w:sz w:val="22"/>
        </w:rPr>
        <w:t>• Pericia contable: a cargo de perito contador único de oficio, para que determine el monto efectivo de las prestaciones LRT abonadas por Asociart al trabajador Cabito, discriminando capital de prestaci</w:t>
      </w:r>
    </w:p>
    <w:p>
      <w:pPr>
        <w:ind w:left="283"/>
      </w:pPr>
      <w:r>
        <w:rPr>
          <w:rFonts w:ascii="Arial" w:hAnsi="Arial"/>
          <w:b/>
          <w:sz w:val="22"/>
        </w:rPr>
        <w:t xml:space="preserve">CONFESIONAL: </w:t>
      </w:r>
    </w:p>
    <w:p>
      <w:pPr>
        <w:spacing w:before="200"/>
      </w:pPr>
      <w:r>
        <w:rPr>
          <w:rFonts w:ascii="Arial" w:hAnsi="Arial"/>
          <w:b/>
          <w:sz w:val="22"/>
        </w:rPr>
        <w:t xml:space="preserve">-X.- (Petitorio) </w:t>
      </w:r>
      <w:r>
        <w:rPr>
          <w:rFonts w:ascii="Arial" w:hAnsi="Arial"/>
          <w:b w:val="0"/>
          <w:sz w:val="22"/>
        </w:rPr>
        <w:t>POR TODO LO EXPUESTO, a V.S. respetuosamente se solicita:</w:t>
        <w:br/>
        <w:br/>
        <w:t>1. Se tenga a Libra Compañía Argentina de Seguros S.A. por presentada, por parte en calidad de citada en garantía (art. 118 Ley 17.418), y por constituido el domicilio indicado.</w:t>
        <w:br/>
        <w:br/>
        <w:t>2. Se haga lugar a la excepción de falta de legitimación pasiva opuesta, con costas al actor; o en subsidio, se rechace la demanda en todas sus partes, con expresa imposición de costas a la actora.</w:t>
        <w:br/>
        <w:br/>
        <w:t>3. Para el supuesto de condena, se limite la responsabilidad de esta citada en garantía a los términos y condiciones de la póliza de seguros vigente al momento del</w:t>
      </w:r>
    </w:p>
    <w:p>
      <w:pPr>
        <w:spacing w:before="240"/>
      </w:pPr>
      <w:r>
        <w:rPr>
          <w:rFonts w:ascii="Arial" w:hAnsi="Arial"/>
          <w:b w:val="0"/>
          <w:sz w:val="22"/>
        </w:rPr>
        <w:br/>
        <w:t>Proveer así,</w:t>
      </w:r>
    </w:p>
    <w:p>
      <w:r>
        <w:rPr>
          <w:rFonts w:ascii="Arial" w:hAnsi="Arial"/>
          <w:b/>
          <w:sz w:val="22"/>
        </w:rPr>
        <w:t>Será Justicia.</w:t>
      </w:r>
    </w:p>
    <w:p>
      <w:r>
        <w:br w:type="page"/>
      </w:r>
    </w:p>
    <w:p>
      <w:r>
        <w:rPr>
          <w:rFonts w:ascii="Arial" w:hAnsi="Arial"/>
          <w:b/>
          <w:sz w:val="22"/>
        </w:rPr>
        <w:t>⚠️ NOTAS PARA EL ABOGADO — NO INCLUIR EN EL ESCRITO FINAL</w:t>
      </w:r>
    </w:p>
    <w:p>
      <w:r>
        <w:rPr>
          <w:rFonts w:ascii="Arial" w:hAnsi="Arial"/>
          <w:b w:val="0"/>
          <w:sz w:val="20"/>
        </w:rPr>
        <w:t>• ACCIÓN URGENTE PREVIA A PRESENTAR: Verificar en los sistemas internos de Libra si existe póliza RC vigente al 08/01/2024 para el Chevrolet Classic Dominio MDP 995 a nombre de Juan Carlos Rojas. Esta es la pregunta más crítica del caso.</w:t>
      </w:r>
    </w:p>
    <w:p>
      <w:r>
        <w:rPr>
          <w:rFonts w:ascii="Arial" w:hAnsi="Arial"/>
          <w:b w:val="0"/>
          <w:sz w:val="20"/>
        </w:rPr>
        <w:t>• Si la póliza no existe: la contestación debe centrarse en la excepción de falta de legitimación pasiva (no hay contrato de seguro). Descartar las demás defensas de fondo.</w:t>
      </w:r>
    </w:p>
    <w:p>
      <w:r>
        <w:rPr>
          <w:rFonts w:ascii="Arial" w:hAnsi="Arial"/>
          <w:b w:val="0"/>
          <w:sz w:val="20"/>
        </w:rPr>
        <w:t>• Si la póliza existe: revisar la suma asegurada. El monto reclamado ($39.8M) puede superar la suma asegurada, lo que limita la responsabilidad de Libra. La impugnación de las costas del juicio laboral ($9.8M) puede reducir significativamente la exposición.</w:t>
      </w:r>
    </w:p>
    <w:p>
      <w:r>
        <w:rPr>
          <w:rFonts w:ascii="Arial" w:hAnsi="Arial"/>
          <w:b w:val="0"/>
          <w:sz w:val="20"/>
        </w:rPr>
        <w:t>• La causa penal DEN 1128930/MPF 958902 es importante: si se condena penalmente a Rojas por Lesiones Culposas, esa prueba será usada contra Libra en este proceso. Evaluar intervención como parte en la causa penal para controlar la prueba.</w:t>
      </w:r>
    </w:p>
    <w:p>
      <w:r>
        <w:rPr>
          <w:rFonts w:ascii="Arial" w:hAnsi="Arial"/>
          <w:b w:val="0"/>
          <w:sz w:val="20"/>
        </w:rPr>
        <w:t>• El expediente laboral Expte. 45378/2024 (JNTrab Nº 63) tiene un acuerdo homologado por $29M que no es oponible a Libra como cosa juzgada — pero en la práctica los jueces tienden a tomar ese monto como referencia. La pericia médica propia en este proceso es crítica para impugnarlo.</w:t>
      </w:r>
    </w:p>
    <w:p>
      <w:r>
        <w:rPr>
          <w:rFonts w:ascii="Arial" w:hAnsi="Arial"/>
          <w:b w:val="0"/>
          <w:sz w:val="20"/>
        </w:rPr>
        <w:t>• La capitalización de intereses art. 770 inc. b CCyCN desde la fecha de cada erogación puede triplicar el capital en un juicio de 4-5 años. La reserva contable debe contemplar ese escenario.</w:t>
      </w:r>
    </w:p>
    <w:p>
      <w:r>
        <w:rPr>
          <w:rFonts w:ascii="Arial" w:hAnsi="Arial"/>
          <w:b w:val="0"/>
          <w:sz w:val="20"/>
        </w:rPr>
        <w:t>• Evaluar con el área de siniestros si Rojas denunció el siniestro a Libra y si hay actuaciones internas (investigación del siniestro, pronunciamiento sobre cobertura art. 56 LS).</w:t>
      </w:r>
    </w:p>
    <w:p>
      <w:r>
        <w:rPr>
          <w:rFonts w:ascii="Arial" w:hAnsi="Arial"/>
          <w:b w:val="0"/>
          <w:sz w:val="20"/>
        </w:rPr>
        <w:t>• Este borrador requiere revisión de abogado antes de presentación. Confidence del borrador: 0.72 (por debajo del umbral óptimo de 0.80 del skill, debido a la falta de datos de la póliza).</w:t>
      </w:r>
    </w:p>
    <w:p>
      <w:r>
        <w:rPr>
          <w:rFonts w:ascii="Arial" w:hAnsi="Arial"/>
          <w:b/>
          <w:sz w:val="20"/>
        </w:rPr>
        <w:br/>
        <w:t>Secciones que requieren revisión/completamiento:</w:t>
      </w:r>
    </w:p>
    <w:p>
      <w:r>
        <w:rPr>
          <w:rFonts w:ascii="Arial" w:hAnsi="Arial"/>
          <w:b w:val="0"/>
          <w:sz w:val="20"/>
        </w:rPr>
        <w:t xml:space="preserve">• Encabezamiento — número de expediente y tribunal: </w:t>
      </w:r>
    </w:p>
    <w:p>
      <w:r>
        <w:rPr>
          <w:rFonts w:ascii="Arial" w:hAnsi="Arial"/>
          <w:b w:val="0"/>
          <w:sz w:val="20"/>
        </w:rPr>
        <w:t xml:space="preserve">• Datos de la póliza y referencias_poliza: </w:t>
      </w:r>
    </w:p>
    <w:p>
      <w:r>
        <w:rPr>
          <w:rFonts w:ascii="Arial" w:hAnsi="Arial"/>
          <w:b w:val="0"/>
          <w:sz w:val="20"/>
        </w:rPr>
        <w:t xml:space="preserve">• Excepción de falta de legitimación pasiva (sección III): </w:t>
      </w:r>
    </w:p>
    <w:p>
      <w:r>
        <w:rPr>
          <w:rFonts w:ascii="Arial" w:hAnsi="Arial"/>
          <w:b w:val="0"/>
          <w:sz w:val="20"/>
        </w:rPr>
        <w:t xml:space="preserve">• Limitación al monto de póliza (sección VI): </w:t>
      </w:r>
    </w:p>
    <w:p>
      <w:r>
        <w:rPr>
          <w:rFonts w:ascii="Arial" w:hAnsi="Arial"/>
          <w:b w:val="0"/>
          <w:sz w:val="20"/>
        </w:rPr>
        <w:t xml:space="preserve">• Negativa específica sobre la póliza (hecho 6): </w:t>
      </w:r>
    </w:p>
    <w:p>
      <w:r>
        <w:rPr>
          <w:rFonts w:ascii="Arial" w:hAnsi="Arial"/>
          <w:b w:val="0"/>
          <w:sz w:val="20"/>
        </w:rPr>
        <w:t xml:space="preserve">• Uso del vehículo como taxi — exclusión potencial: </w:t>
      </w:r>
    </w:p>
    <w:p>
      <w:r>
        <w:rPr>
          <w:rFonts w:ascii="Arial" w:hAnsi="Arial"/>
          <w:b w:val="0"/>
          <w:sz w:val="20"/>
        </w:rPr>
        <w:t xml:space="preserve">• Capitalization de intereses art. 770 inc. b CCyCN: </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