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"ASOCIART S.A. ART C/ ROJAS JUAN CARLOS Y OTRO S/ COBRO DE SUMAS DE DINERO"</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que amparaba -entre otros riesgos- por el de responsabilidad civil hacia terceros, al vehículo CHEVROLET CLASSIC TAXI dominio MDP995, a nombre de ROJAS JUAN CARLOS,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CHEVROLET CLASSIC TAXI dominio MDP995, se hallaba asegurado por mi representada, bajo la póliza [N° PÓLIZA — A COMPLETAR],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La ART actora que ejercita la acción de repetición del art. 39 inc. 5 de la Ley 24.557 se subroga en los derechos del demandado Rojas frente a su asegurador; consecuentemente, no puede tener más derechos que el propio asegurado frente a su aseguradora, y la condena a mi representada queda limitada al contenido del contrato de seguro. El límite de la obligación de la aseguradora es siempre "en la medida del seguro" (art. 118 Ley 17.418).</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El seguro obligatorio no convierte a la aseguradora en garante ilimitado de cualquier condena.</w:t>
      </w:r>
    </w:p>
    <w:p>
      <w:pPr>
        <w:spacing w:before="0" w:after="120"/>
        <w:jc w:val="both"/>
      </w:pPr>
      <w:r>
        <w:rPr>
          <w:rFonts w:ascii="Arial" w:hAnsi="Arial"/>
          <w:b w:val="0"/>
          <w:i w:val="0"/>
          <w:sz w:val="22"/>
          <w:u w:val="none"/>
        </w:rPr>
        <w:t>- "Buffoni c/ Castro" — Fallos: 337:329 (2014): la Corte confirmó que la franquicia pactada en el contrato de seguro es oponible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ratificación de la doctrina de oponibilidad de los límites contractuales de cobertura.</w:t>
      </w:r>
    </w:p>
    <w:p>
      <w:pPr>
        <w:spacing w:before="0" w:after="120"/>
        <w:jc w:val="both"/>
      </w:pPr>
      <w:r>
        <w:rPr>
          <w:rFonts w:ascii="Arial" w:hAnsi="Arial"/>
          <w:b w:val="0"/>
          <w:i w:val="0"/>
          <w:sz w:val="22"/>
          <w:u w:val="none"/>
        </w:rPr>
        <w:t>- "Aimar c/ Molina" — Expte. 31171/2012, sentencia del 24 de abril de 2018: la sentencia de condena a la aseguradora debe circunscribirse a los términos y límites del contrato de seguro.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arts. 109-120 y art. 118 (límite "en la medida del seguro").</w:t>
        <w:br/>
        <w:t>- Ley 20.091: arts. 1, 23-26, 64 y 67 (aprobación de condiciones por la SSN).</w:t>
        <w:br/>
        <w:t>- Ley 24.449: art. 68 (seguro obligatorio — piso mínimo, no cobertura ilimitada).</w:t>
        <w:br/>
        <w:t>- CCyCN: arts. 957, 959, 1021 y 1022.</w:t>
        <w:br/>
        <w:t>- Constitución Nacional: arts. 17 y 28.</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Copia de Poder General Judicial del Dr. Francisco Eloy Sánchez</w:t>
      </w:r>
    </w:p>
    <w:p>
      <w:pPr>
        <w:spacing w:before="0" w:after="60"/>
        <w:ind w:left="283"/>
        <w:jc w:val="both"/>
      </w:pPr>
      <w:r>
        <w:rPr>
          <w:rFonts w:ascii="Arial" w:hAnsi="Arial"/>
          <w:b w:val="0"/>
          <w:i w:val="0"/>
          <w:sz w:val="22"/>
          <w:u w:val="none"/>
        </w:rPr>
        <w:t>• Reporte con detalle de los gastos y prestaciones brindadas por el siniestro (Reporte de Gastos, siniestro N° 0-586544)</w:t>
      </w:r>
    </w:p>
    <w:p>
      <w:pPr>
        <w:spacing w:before="0" w:after="60"/>
        <w:ind w:left="283"/>
        <w:jc w:val="both"/>
      </w:pPr>
      <w:r>
        <w:rPr>
          <w:rFonts w:ascii="Arial" w:hAnsi="Arial"/>
          <w:b w:val="0"/>
          <w:i w:val="0"/>
          <w:sz w:val="22"/>
          <w:u w:val="none"/>
        </w:rPr>
        <w:t>• Comprobantes de atención médica / alta médica</w:t>
      </w:r>
    </w:p>
    <w:p>
      <w:pPr>
        <w:spacing w:before="0" w:after="60"/>
        <w:ind w:left="283"/>
        <w:jc w:val="both"/>
      </w:pPr>
      <w:r>
        <w:rPr>
          <w:rFonts w:ascii="Arial" w:hAnsi="Arial"/>
          <w:b w:val="0"/>
          <w:i w:val="0"/>
          <w:sz w:val="22"/>
          <w:u w:val="none"/>
        </w:rPr>
        <w:t>• Pericia médica producida en el expediente laboral Expte. 45378/2024</w:t>
      </w:r>
    </w:p>
    <w:p>
      <w:pPr>
        <w:spacing w:before="0" w:after="60"/>
        <w:ind w:left="283"/>
        <w:jc w:val="both"/>
      </w:pPr>
      <w:r>
        <w:rPr>
          <w:rFonts w:ascii="Arial" w:hAnsi="Arial"/>
          <w:b w:val="0"/>
          <w:i w:val="0"/>
          <w:sz w:val="22"/>
          <w:u w:val="none"/>
        </w:rPr>
        <w:t>• Acuerdo y homologación judicial referida a prestación e indemnización por incapacidad laboral (Expte. 45378/2024)</w:t>
      </w:r>
    </w:p>
    <w:p>
      <w:pPr>
        <w:spacing w:before="0" w:after="60"/>
        <w:ind w:left="283"/>
        <w:jc w:val="both"/>
      </w:pPr>
      <w:r>
        <w:rPr>
          <w:rFonts w:ascii="Arial" w:hAnsi="Arial"/>
          <w:b w:val="0"/>
          <w:i w:val="0"/>
          <w:sz w:val="22"/>
          <w:u w:val="none"/>
        </w:rPr>
        <w:t>• Constancias de pago, escrito y comprobante de transferencia</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8 de enero de 2024 aproximadamente a las 17.20 horas el trabajador Cabito Guido Hernán circulaba en motocicleta Honda por la Av. General Paz sentido Riachuelo.</w:t>
      </w:r>
    </w:p>
    <w:p>
      <w:pPr>
        <w:spacing w:before="0" w:after="80"/>
        <w:jc w:val="both"/>
      </w:pPr>
      <w:r>
        <w:rPr>
          <w:rFonts w:ascii="Arial" w:hAnsi="Arial"/>
          <w:b w:val="0"/>
          <w:i w:val="0"/>
          <w:sz w:val="22"/>
          <w:u w:val="none"/>
        </w:rPr>
        <w:t>2. Que A la altura de Nazarre, el taxi Chevrolet Classic dominio MDP 995 conducido por el demandado Rojas embistió a la motocicleta de Cabito al realizar una maniobra de giro brusco hacia su derecha para tomar la salida hacia Nazarre.</w:t>
      </w:r>
    </w:p>
    <w:p>
      <w:pPr>
        <w:spacing w:before="0" w:after="80"/>
        <w:jc w:val="both"/>
      </w:pPr>
      <w:r>
        <w:rPr>
          <w:rFonts w:ascii="Arial" w:hAnsi="Arial"/>
          <w:b w:val="0"/>
          <w:i w:val="0"/>
          <w:sz w:val="22"/>
          <w:u w:val="none"/>
        </w:rPr>
        <w:t>3. Que El trabajador Cabito circulaba reglamentariamente por el carril derecho de la Av. General Paz cuando fue violentamente embestido por el vehículo del demandado que circulaba a la izquierda de la motocicleta.</w:t>
      </w:r>
    </w:p>
    <w:p>
      <w:pPr>
        <w:spacing w:before="0" w:after="80"/>
        <w:jc w:val="both"/>
      </w:pPr>
      <w:r>
        <w:rPr>
          <w:rFonts w:ascii="Arial" w:hAnsi="Arial"/>
          <w:b w:val="0"/>
          <w:i w:val="0"/>
          <w:sz w:val="22"/>
          <w:u w:val="none"/>
        </w:rPr>
        <w:t>4. Que El Chevrolet Classic embistió con su lateral derecho a Cabito y a la motocicleta, provocando que el trabajador saliera despedido y cayera sobre la calzada.</w:t>
      </w:r>
    </w:p>
    <w:p>
      <w:pPr>
        <w:spacing w:before="0" w:after="80"/>
        <w:jc w:val="both"/>
      </w:pPr>
      <w:r>
        <w:rPr>
          <w:rFonts w:ascii="Arial" w:hAnsi="Arial"/>
          <w:b w:val="0"/>
          <w:i w:val="0"/>
          <w:sz w:val="22"/>
          <w:u w:val="none"/>
        </w:rPr>
        <w:t>5. Que El trabajador Cabito sufrió lesiones en su columna cervical y lumbar y otros daños físicos y psicológicos que le generaron una incapacidad laboral psicofísica del 22% de la total obrera (12% física y 10% psíquica).</w:t>
      </w:r>
    </w:p>
    <w:p>
      <w:pPr>
        <w:spacing w:before="0" w:after="80"/>
        <w:jc w:val="both"/>
      </w:pPr>
      <w:r>
        <w:rPr>
          <w:rFonts w:ascii="Arial" w:hAnsi="Arial"/>
          <w:b w:val="0"/>
          <w:i w:val="0"/>
          <w:sz w:val="22"/>
          <w:u w:val="none"/>
        </w:rPr>
        <w:t>6. Que Asociart abonó al trabajador la suma de $29.000.000 en concepto de prestación dineraria por incapacidad laboral permanente, según acuerdo homologado en el expediente laboral Expte. 45378/2024.</w:t>
      </w:r>
    </w:p>
    <w:p>
      <w:pPr>
        <w:spacing w:before="0" w:after="80"/>
        <w:jc w:val="both"/>
      </w:pPr>
      <w:r>
        <w:rPr>
          <w:rFonts w:ascii="Arial" w:hAnsi="Arial"/>
          <w:b w:val="0"/>
          <w:i w:val="0"/>
          <w:sz w:val="22"/>
          <w:u w:val="none"/>
        </w:rPr>
        <w:t>7. Que Asociart abonó $375.678,22 en prestaciones en especie (atención médica, hospitalización, rehabilitación, farmacia, traslados).</w:t>
      </w:r>
    </w:p>
    <w:p>
      <w:pPr>
        <w:spacing w:before="0" w:after="80"/>
        <w:jc w:val="both"/>
      </w:pPr>
      <w:r>
        <w:rPr>
          <w:rFonts w:ascii="Arial" w:hAnsi="Arial"/>
          <w:b w:val="0"/>
          <w:i w:val="0"/>
          <w:sz w:val="22"/>
          <w:u w:val="none"/>
        </w:rPr>
        <w:t>8. Que Asociart abonó $629.573,08 en concepto de Incapacidad Laboral Temporaria (ILT).</w:t>
      </w:r>
    </w:p>
    <w:p>
      <w:pPr>
        <w:spacing w:before="0" w:after="80"/>
        <w:jc w:val="both"/>
      </w:pPr>
      <w:r>
        <w:rPr>
          <w:rFonts w:ascii="Arial" w:hAnsi="Arial"/>
          <w:b w:val="0"/>
          <w:i w:val="0"/>
          <w:sz w:val="22"/>
          <w:u w:val="none"/>
        </w:rPr>
        <w:t>9. Que El monto total reclamado asciende a $39.792.327,30, con más intereses capitalizados conforme art. 770 inc. b) CCyCN desde la fecha de cada erogación.</w:t>
      </w:r>
    </w:p>
    <w:p>
      <w:pPr>
        <w:spacing w:before="0" w:after="80"/>
        <w:jc w:val="both"/>
      </w:pPr>
      <w:r>
        <w:rPr>
          <w:rFonts w:ascii="Arial" w:hAnsi="Arial"/>
          <w:b w:val="0"/>
          <w:i w:val="0"/>
          <w:sz w:val="22"/>
          <w:u w:val="none"/>
        </w:rPr>
        <w:t>10. Que El demandado Rojas es civilmente responsable por el accidente por ser conductor y guardián del vehículo MDP 995, habiendo realizado una maniobra negligente de giro brusco sin advertir la circulación de la motocicleta.</w:t>
      </w:r>
    </w:p>
    <w:p>
      <w:pPr>
        <w:spacing w:before="0" w:after="80"/>
        <w:jc w:val="both"/>
      </w:pPr>
      <w:r>
        <w:rPr>
          <w:rFonts w:ascii="Arial" w:hAnsi="Arial"/>
          <w:b w:val="0"/>
          <w:i w:val="0"/>
          <w:sz w:val="22"/>
          <w:u w:val="none"/>
        </w:rPr>
        <w:t>11. Que El accidente constituyó un accidente de trabajo in itinere conforme el art. 6 inc. 1 de la LRT, identificado internamente por Asociart con el siniestro N° 0-586544.</w:t>
      </w:r>
    </w:p>
    <w:p>
      <w:pPr>
        <w:spacing w:before="0" w:after="80"/>
        <w:jc w:val="both"/>
      </w:pPr>
      <w:r>
        <w:rPr>
          <w:rFonts w:ascii="Arial" w:hAnsi="Arial"/>
          <w:b w:val="0"/>
          <w:i w:val="0"/>
          <w:sz w:val="22"/>
          <w:u w:val="none"/>
        </w:rPr>
        <w:t>12. Que La ART Asociart tiene acción directa de repetición contra el responsable civil del accidente conforme el art. 39 inc. 5 de la LRT.</w:t>
      </w:r>
    </w:p>
    <w:p>
      <w:pPr>
        <w:spacing w:before="0" w:after="80"/>
        <w:jc w:val="both"/>
      </w:pPr>
      <w:r>
        <w:rPr>
          <w:rFonts w:ascii="Arial" w:hAnsi="Arial"/>
          <w:b w:val="0"/>
          <w:i w:val="0"/>
          <w:sz w:val="22"/>
          <w:u w:val="none"/>
        </w:rPr>
        <w:t>13. Que Edenor S.A. tenía contratado seguro de riesgos del trabajo con Asociart a la fecha del accidente (08/01/2024) y el trabajador Cabito integraba su nómina de empleados.</w:t>
      </w:r>
    </w:p>
    <w:p>
      <w:pPr>
        <w:spacing w:before="0" w:after="80"/>
        <w:jc w:val="both"/>
      </w:pPr>
      <w:r>
        <w:rPr>
          <w:rFonts w:ascii="Arial" w:hAnsi="Arial"/>
          <w:b w:val="0"/>
          <w:i w:val="0"/>
          <w:sz w:val="22"/>
          <w:u w:val="none"/>
        </w:rPr>
        <w:t>14. Que El trabajador Cabito fue atendido en el Hospital Vélez Sarsfield y derivado posteriormente a la Clínica Solis de San Justo y al Centro Médico Asociart de Morón.</w:t>
      </w:r>
    </w:p>
    <w:p>
      <w:pPr>
        <w:spacing w:before="0" w:after="80"/>
        <w:jc w:val="both"/>
      </w:pPr>
      <w:r>
        <w:rPr>
          <w:rFonts w:ascii="Arial" w:hAnsi="Arial"/>
          <w:b w:val="0"/>
          <w:i w:val="0"/>
          <w:sz w:val="22"/>
          <w:u w:val="none"/>
        </w:rPr>
        <w:t>15. Que La causa penal fue labrada con DEN 1128930/MPF 958902 (Sumario 13698/2024) por Lesiones Culposas art. 94 CP, damnificado Cabito, imputado Rojas.</w:t>
      </w:r>
    </w:p>
    <w:p>
      <w:pPr>
        <w:spacing w:before="0" w:after="80"/>
        <w:jc w:val="both"/>
      </w:pPr>
      <w:r>
        <w:rPr>
          <w:rFonts w:ascii="Arial" w:hAnsi="Arial"/>
          <w:b w:val="0"/>
          <w:i w:val="0"/>
          <w:sz w:val="22"/>
          <w:u w:val="none"/>
        </w:rPr>
        <w:t>16. Que El acuerdo homologado en el expediente laboral Expte. 45378/2024 fijó la prestación dineraria del trabajador en $29.000.000 de capital, sobre la base de una incapacidad del 22% determinada por pericia médica.</w:t>
      </w:r>
    </w:p>
    <w:p>
      <w:pPr>
        <w:spacing w:before="0" w:after="80"/>
        <w:jc w:val="both"/>
      </w:pPr>
      <w:r>
        <w:rPr>
          <w:rFonts w:ascii="Arial" w:hAnsi="Arial"/>
          <w:b w:val="0"/>
          <w:i w:val="0"/>
          <w:sz w:val="22"/>
          <w:u w:val="none"/>
        </w:rPr>
        <w:t>17. Que Asociart reclama además el importe de las costas del expediente laboral incluido en los $38.787.076 del rubro 'ILP / Pagos Juicio'.</w:t>
      </w:r>
    </w:p>
    <w:p>
      <w:pPr>
        <w:spacing w:before="0" w:after="80"/>
        <w:jc w:val="both"/>
      </w:pPr>
      <w:r>
        <w:rPr>
          <w:rFonts w:ascii="Arial" w:hAnsi="Arial"/>
          <w:b w:val="0"/>
          <w:i w:val="0"/>
          <w:sz w:val="22"/>
          <w:u w:val="none"/>
        </w:rPr>
        <w:t>18. Que Se solicita que al capital de condena se le adicionen intereses a tasa activa desde la fecha de cada erogación hasta el efectivo pago, con capitalización conforme art. 770 inc. b) CCyCN.</w:t>
      </w:r>
    </w:p>
    <w:p>
      <w:pPr>
        <w:spacing w:before="0" w:after="80"/>
        <w:jc w:val="both"/>
      </w:pPr>
      <w:r>
        <w:rPr>
          <w:rFonts w:ascii="Arial" w:hAnsi="Arial"/>
          <w:b w:val="0"/>
          <w:i w:val="0"/>
          <w:sz w:val="22"/>
          <w:u w:val="none"/>
        </w:rPr>
        <w:t>19. Que La mediación prejudicial fue realizada ante la mediadora Ana Lorena Torres (Hab. MJYDH N° 4650), cerrándose sin acuerdo.</w:t>
      </w:r>
    </w:p>
    <w:p>
      <w:pPr>
        <w:spacing w:before="0" w:after="80"/>
        <w:jc w:val="both"/>
      </w:pPr>
      <w:r>
        <w:rPr>
          <w:rFonts w:ascii="Arial" w:hAnsi="Arial"/>
          <w:b w:val="0"/>
          <w:i w:val="0"/>
          <w:sz w:val="22"/>
          <w:u w:val="none"/>
        </w:rPr>
        <w:t>20. Que La responsabilidad de la aseguradora Libra deriva del art. 118 de la Ley 17.418 como aseguradora del vehículo Chevrolet Classic dominio MDP 995.</w:t>
      </w:r>
    </w:p>
    <w:p>
      <w:pPr>
        <w:spacing w:before="0" w:after="80"/>
        <w:jc w:val="both"/>
      </w:pPr>
      <w:r>
        <w:rPr>
          <w:rFonts w:ascii="Arial" w:hAnsi="Arial"/>
          <w:b w:val="0"/>
          <w:i w:val="0"/>
          <w:sz w:val="22"/>
          <w:u w:val="none"/>
        </w:rPr>
        <w:t>21. Que El monto abonado por Asociart en el expediente laboral ($29.000.000 de capital más costas) constituye el objeto principal de la repetición del art. 39 inc. 5 LRT.</w:t>
      </w:r>
    </w:p>
    <w:p>
      <w:pPr>
        <w:spacing w:before="0" w:after="80"/>
        <w:jc w:val="both"/>
      </w:pPr>
      <w:r>
        <w:rPr>
          <w:rFonts w:ascii="Arial" w:hAnsi="Arial"/>
          <w:b w:val="0"/>
          <w:i w:val="0"/>
          <w:sz w:val="22"/>
          <w:u w:val="none"/>
        </w:rPr>
        <w:t>22. Que Asociart es la única ART que cubrió a Edenor S.A. y al trabajador Cabito al momento del accidente del 08/01/2024.</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La acción de repetición del art. 39 inc. 5 LRT es de naturaleza civil. El plazo de prescripción podría ser el del art. 2561 CCC (3 años) para responsabilidad civil extracontractual, o el del art. 58 Ley 17.418 (1 año) para la acción contra el asegurador. El accidente ocurrió el 08/01/2024. La mediación prejudicial fue realizada (acta adjunta). Verificar las fechas para evaluar la defensa.</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Inoponibilidad del expediente laboral como prueba de incapacidad y cuantía en este proceso. </w:t>
      </w:r>
      <w:r>
        <w:rPr>
          <w:rFonts w:ascii="Arial" w:hAnsi="Arial"/>
          <w:b w:val="0"/>
          <w:i w:val="0"/>
          <w:sz w:val="22"/>
          <w:u w:val="none"/>
        </w:rPr>
        <w:t>La acción de repetición del art. 39 inc. 5 LRT exige que la ART actora demuestre en este proceso civil: (a) la responsabilidad civil del demandado por el accidente de tránsito, (b) el nexo causal entre ese accidente y las lesiones del trabajador, y (c) el monto de las prestaciones efectivamente abonadas. La ART no puede limitarse a invocar lo resuelto en el expediente laboral (Expte. 45378/2024, JNIT N° 63) como prueba de la incapacidad del trabajador y del quantum de la prestación, dado que mi representada no fue parte en ese proceso, no tuvo posibilidad de controlar la pericia médica allí producida ni de impugnar el acuerdo homologado. La resolución del juicio laboral hace cosa juzgada entre Asociart y el trabajador Cabito, pero no es oponible a esta parte en la presente causa. Por ende, la ART debe acreditar de manera independiente en este proceso todos los presupuestos de la repetición.</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del trabajador Cabito en la producción del evento. El trabajador Cabito circulaba en motocicleta por la Av. General Paz, una arteria de alta velocidad, con la obligación de mantener en todo momento el dominio efectivo de su rodado y de anticipar las maniobras de los demás vehículos (art. 39 inc. b) Ley 24.449). La determinación definitiva de la incidencia causal de cada rodado queda sujeta a la producción de la prueba pericial mecánica y a las constancias de la causa penal.</w:t>
      </w:r>
    </w:p>
    <w:p>
      <w:pPr>
        <w:spacing w:before="80" w:after="80"/>
        <w:jc w:val="both"/>
      </w:pPr>
      <w:r>
        <w:rPr>
          <w:rFonts w:ascii="Arial" w:hAnsi="Arial"/>
          <w:b/>
          <w:i w:val="0"/>
          <w:sz w:val="22"/>
          <w:u w:val="none"/>
        </w:rPr>
        <w:t xml:space="preserve">Impugnación de montos y rubros reclamados — costas del expediente laboral no son recuperables. </w:t>
      </w:r>
      <w:r>
        <w:rPr>
          <w:rFonts w:ascii="Arial" w:hAnsi="Arial"/>
          <w:b w:val="0"/>
          <w:i w:val="0"/>
          <w:sz w:val="22"/>
          <w:u w:val="none"/>
        </w:rPr>
        <w:t>Las costas del expediente laboral Expte. 45378/2024 incluidas en el rubro 'ILP / Pagos Juicio' ($38.787.076 según la demanda) no son recuperables mediante la acción del art. 39 inc. 5 LRT. Dicha norma otorga a la ART el derecho a recuperar 'el valor de las prestaciones' previstas en la LRT, que son las tarifadas legalmente por los arts. 7, 8, 13, 14 y 20 de la LRT. Las costas del proceso judicial son un accesorio del pleito entre Asociart y el trabajador, derivadas de la relación entre esas dos partes, y no de la responsabilidad civil del demandado Rojas por el accidente de tránsito. Su inclusión en el reclamo de repetición extiende la acción más allá de su fundamento legal.</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La ART actora, al ejercitar la acción de repetición, se subroga en la posición del demandado asegurado y no puede tener más derechos que éste frente a su aseguradora. En consecuencia, la condena a Libra queda limitada al límite de cobertura pactado en la póliza, cualquiera sea el monto de condena contra el demandado Rojas.</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Prestaciones en especie</w:t>
      </w:r>
      <w:r>
        <w:rPr>
          <w:rFonts w:ascii="Arial" w:hAnsi="Arial"/>
          <w:b w:val="0"/>
          <w:i w:val="0"/>
          <w:sz w:val="22"/>
          <w:u w:val="none"/>
        </w:rPr>
        <w:t xml:space="preserve"> ($375.678,22)</w:t>
      </w:r>
      <w:r>
        <w:rPr>
          <w:rFonts w:ascii="Arial" w:hAnsi="Arial"/>
          <w:b w:val="0"/>
          <w:i w:val="0"/>
          <w:sz w:val="22"/>
          <w:u w:val="none"/>
        </w:rPr>
        <w:t>: El monto de $375.678,22 en prestaciones en especie fue determinado unilateralmente por Asociart según su propio Reporte de Gastos. Mi representada no tuvo acceso a los comprobantes ni a los criterios de facturación de los prestadores. La actora debe acreditar cada erogación con los comprobantes originales y demostrar su correspondencia causal con el accidente de autos. La pericia contable deberá verificar la realidad y cuantía de cada pago.</w:t>
      </w:r>
    </w:p>
    <w:p>
      <w:pPr>
        <w:spacing w:before="80" w:after="80"/>
        <w:ind w:left="283"/>
        <w:jc w:val="both"/>
      </w:pPr>
      <w:r>
        <w:rPr>
          <w:rFonts w:ascii="Arial" w:hAnsi="Arial"/>
          <w:b/>
          <w:i w:val="0"/>
          <w:sz w:val="22"/>
          <w:u w:val="none"/>
        </w:rPr>
        <w:t>Incapacidad Laboral Temporaria (ILT)</w:t>
      </w:r>
      <w:r>
        <w:rPr>
          <w:rFonts w:ascii="Arial" w:hAnsi="Arial"/>
          <w:b w:val="0"/>
          <w:i w:val="0"/>
          <w:sz w:val="22"/>
          <w:u w:val="none"/>
        </w:rPr>
        <w:t xml:space="preserve"> ($629.573,08)</w:t>
      </w:r>
      <w:r>
        <w:rPr>
          <w:rFonts w:ascii="Arial" w:hAnsi="Arial"/>
          <w:b w:val="0"/>
          <w:i w:val="0"/>
          <w:sz w:val="22"/>
          <w:u w:val="none"/>
        </w:rPr>
        <w:t>: El monto de $629.573,08 en ILT debe ser verificado por la pericia contable en función del salario base del trabajador Cabito acreditado documentalmente y del período de ILT efectivamente reconocido. Niego que el cálculo realizado por Asociart sea el que corresponde según el régimen de la LRT.</w:t>
      </w:r>
    </w:p>
    <w:p>
      <w:pPr>
        <w:spacing w:before="80" w:after="80"/>
        <w:ind w:left="283"/>
        <w:jc w:val="both"/>
      </w:pPr>
      <w:r>
        <w:rPr>
          <w:rFonts w:ascii="Arial" w:hAnsi="Arial"/>
          <w:b/>
          <w:i w:val="0"/>
          <w:sz w:val="22"/>
          <w:u w:val="none"/>
        </w:rPr>
        <w:t>Incapacidad Laboral Permanente — Pagos en juicio (ILP)</w:t>
      </w:r>
      <w:r>
        <w:rPr>
          <w:rFonts w:ascii="Arial" w:hAnsi="Arial"/>
          <w:b w:val="0"/>
          <w:i w:val="0"/>
          <w:sz w:val="22"/>
          <w:u w:val="none"/>
        </w:rPr>
        <w:t xml:space="preserve"> ($38.787.076)</w:t>
      </w:r>
      <w:r>
        <w:rPr>
          <w:rFonts w:ascii="Arial" w:hAnsi="Arial"/>
          <w:b w:val="0"/>
          <w:i w:val="0"/>
          <w:sz w:val="22"/>
          <w:u w:val="none"/>
        </w:rPr>
        <w:t>: El monto de $38.787.076 incluye el capital de $29.000.000 fijado en el acuerdo judicial homologado más costas del proceso laboral. Se impugna: (a) el capital de $29.000.000, determinado en un proceso en el que mi representada no fue parte y no pudo controlar la pericia ni el acuerdo; (b) las costas del juicio laboral, que no son recuperables por la vía del art. 39 inc. 5 LRT; (c) la totalidad del monto, que excede en su mayor parte el límite de cobertura de la póliza. La incapacidad del trabajador y el quantum de la prestación deben ser determinados en este proceso con prueba pericial independiente.</w:t>
      </w:r>
    </w:p>
    <w:p>
      <w:pPr>
        <w:spacing w:before="80" w:after="80"/>
        <w:ind w:left="283"/>
        <w:jc w:val="both"/>
      </w:pPr>
      <w:r>
        <w:rPr>
          <w:rFonts w:ascii="Arial" w:hAnsi="Arial"/>
          <w:b/>
          <w:i w:val="0"/>
          <w:sz w:val="22"/>
          <w:u w:val="none"/>
        </w:rPr>
        <w:t>Intereses con capitalización art. 770 inc. b) CCyCN</w:t>
      </w:r>
      <w:r>
        <w:rPr>
          <w:rFonts w:ascii="Arial" w:hAnsi="Arial"/>
          <w:b w:val="0"/>
          <w:i w:val="0"/>
          <w:sz w:val="22"/>
          <w:u w:val="none"/>
        </w:rPr>
        <w:t xml:space="preserve"> (A liquidar)</w:t>
      </w:r>
      <w:r>
        <w:rPr>
          <w:rFonts w:ascii="Arial" w:hAnsi="Arial"/>
          <w:b w:val="0"/>
          <w:i w:val="0"/>
          <w:sz w:val="22"/>
          <w:u w:val="none"/>
        </w:rPr>
        <w:t>: Se impugna la procedencia de la capitalización de intereses conforme el art. 770 inc. b) CCyCN sobre el total de los rubros reclamados, en especial sobre las costas del juicio laboral que — como se señaló — no son recuperables. La aplicación del art. 770 CCyCN queda sujeta a la evaluación del juez conforme las circunstancias del caso.</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 de Libra</w:t>
      </w:r>
    </w:p>
    <w:p>
      <w:pPr>
        <w:spacing w:before="0" w:after="60"/>
        <w:ind w:left="283"/>
        <w:jc w:val="both"/>
      </w:pPr>
      <w:r>
        <w:rPr>
          <w:rFonts w:ascii="Arial" w:hAnsi="Arial"/>
          <w:b w:val="0"/>
          <w:i w:val="0"/>
          <w:sz w:val="22"/>
          <w:u w:val="none"/>
        </w:rPr>
        <w:t>Póliza de seguro de Libra Compañía Argentina de Seguros S.A. para el vehículo Chevrolet Classic dominio MDP 995, asegurado Juan Carlos Rojas</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Chevrolet Classic dominio MDP 995 a la fecha del presunto accidente (08/01/2024) y en forma histórica</w:t>
      </w:r>
    </w:p>
    <w:p>
      <w:pPr>
        <w:spacing w:before="0" w:after="60"/>
        <w:ind w:left="283"/>
        <w:jc w:val="both"/>
      </w:pPr>
      <w:r>
        <w:rPr>
          <w:rFonts w:ascii="Arial" w:hAnsi="Arial"/>
          <w:b w:val="0"/>
          <w:i w:val="0"/>
          <w:sz w:val="22"/>
          <w:u w:val="none"/>
        </w:rPr>
        <w:t>A la UNIDAD FUNCIONAL DE FLAGRANCIA — UNIDAD FISCAL OESTE DEL MINISTERIO PÚBLICO FISCAL CABA: que remita ad effectum videndi et probandi copia de la causa penal DEN 1128930/MPF 958902 (Sumario 13698/2024) por Lesiones Culposas, damnificado Cabito Guido Hernán, imputado Juan Carlos Rojas</w:t>
      </w:r>
    </w:p>
    <w:p>
      <w:pPr>
        <w:spacing w:before="0" w:after="60"/>
        <w:ind w:left="283"/>
        <w:jc w:val="both"/>
      </w:pPr>
      <w:r>
        <w:rPr>
          <w:rFonts w:ascii="Arial" w:hAnsi="Arial"/>
          <w:b w:val="0"/>
          <w:i w:val="0"/>
          <w:sz w:val="22"/>
          <w:u w:val="none"/>
        </w:rPr>
        <w:t>Al JUZGADO NACIONAL DE PRIMERA INSTANCIA DEL TRABAJO N° 63: que remita ad effectum videndi et probandi los autos 'CABITO GUIDO HERNAN C/ ASOCIART S.A. ART S/ RECURSO LEY 27348' (Expte. 45378/2024) o copia certificada de sus partes pertinentes, en especial la pericia médica producida y el acuerdo homologado</w:t>
      </w:r>
    </w:p>
    <w:p>
      <w:pPr>
        <w:spacing w:before="0" w:after="60"/>
        <w:ind w:left="283"/>
        <w:jc w:val="both"/>
      </w:pPr>
      <w:r>
        <w:rPr>
          <w:rFonts w:ascii="Arial" w:hAnsi="Arial"/>
          <w:b w:val="0"/>
          <w:i w:val="0"/>
          <w:sz w:val="22"/>
          <w:u w:val="none"/>
        </w:rPr>
        <w:t>A la SUPERINTENDENCIA DE RIESGOS DEL TRABAJO: que informe si Edenor S.A. tenía celebrado contrato de seguro de riesgos del trabajo con Asociart S.A. ART con vigencia al 08/01/2024 y remita copia del Expediente SRT 128193/24</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que el perito se expida sobre la mecánica del accidente ocurrido el 08/01/2024 en Av. General Paz a la altura de Nazarre, calidad de embistente/embestido de cada rodado, velocidades de circulación, y todo otro aspecto de interés</w:t>
      </w:r>
    </w:p>
    <w:p>
      <w:pPr>
        <w:spacing w:before="0" w:after="60"/>
        <w:ind w:left="283"/>
        <w:jc w:val="both"/>
      </w:pPr>
      <w:r>
        <w:rPr>
          <w:rFonts w:ascii="Arial" w:hAnsi="Arial"/>
          <w:b w:val="0"/>
          <w:i w:val="0"/>
          <w:sz w:val="22"/>
          <w:u w:val="none"/>
        </w:rPr>
        <w:t>Pericial médica: que evalúe las lesiones sufridas por el trabajador Cabito Guido Hernán (DNI 34.148.179) como consecuencia del accidente de autos, el grado de incapacidad resultante y su correspondencia causal con el hecho de la demanda — independientemente de lo resuelto en el expediente laboral</w:t>
      </w:r>
    </w:p>
    <w:p>
      <w:pPr>
        <w:spacing w:before="0" w:after="60"/>
        <w:ind w:left="283"/>
        <w:jc w:val="both"/>
      </w:pPr>
      <w:r>
        <w:rPr>
          <w:rFonts w:ascii="Arial" w:hAnsi="Arial"/>
          <w:b w:val="0"/>
          <w:i w:val="0"/>
          <w:sz w:val="22"/>
          <w:u w:val="none"/>
        </w:rPr>
        <w:t>Pericial contable: que verifique la realidad y cuantía de cada erogación efectuada por Asociart con causa en el siniestro N° 0-586544, su correspondencia con las prestaciones previstas en la LRT, y determine el importe efectivamente recuperable mediante la acción del art. 39 inc. 5 LRT</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representante legal de Asociart S.A. ART, a tenor del pliego que se adjuntará oportunamente, en especial sobre las circunstancias del accidente, la fecha de denuncia del siniestro y los parámetros utilizados para calcular las prestaciones</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la actora Asociart.</w:t>
        <w:br/>
        <w:t>c) Se tenga presente la impugnación de toda la documental acompañada por la actora.</w:t>
        <w:br/>
        <w:t>d) Se tenga presente la excepción de prescripción con reserva de ampliarla.</w:t>
        <w:br/>
        <w:t>e) Oportunamente, se rechace la demanda en todas sus partes, con expresa imposición de costas a la actora.</w:t>
        <w:br/>
        <w:t>f) En subsidio, para el improbable supuesto de que se hiciera lugar a la demanda, se tenga presente: (i) que las costas del expediente laboral Expte. 45378/2024 no son recuperables por vía del art. 39 inc. 5 LRT; (ii) que el límite de cobertura pactado en la póliza opera como tope de la condena a mi representada conforme el art. 118 de la Ley 17.418 y la doctrina reiterada de la CSJN.</w:t>
        <w:br/>
        <w:t>g) Se tenga por ofrecida la prueba indicada precedentemente.</w:t>
        <w:br/>
        <w:t>h) Se tenga presente la defensa en juicio del asegurado y la consecuente responsabilidad de Rojas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