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 A COMPLETAR] (T__ F__ CPACF, CUIT [CUIT — A COMPLETAR], Monotributista), letrada apoderada, mail: [MAIL — A COMPLETAR], constituyendo domicilio legal en la calle Olazabal 1515, piso 5 of. 505, CABA, y domicilio electrónico [CUIT — A COMPLETAR], en los autos caratulados: </w:t>
      </w:r>
      <w:r>
        <w:rPr>
          <w:rFonts w:ascii="Arial" w:hAnsi="Arial"/>
          <w:b/>
          <w:i w:val="0"/>
          <w:sz w:val="22"/>
          <w:u w:val="none"/>
        </w:rPr>
        <w:t>"KUMAZAWA GUSTAVO GABRIEL Y GAVILÁN GUILLERMO NOEL C/ OLMEDO GONZÁLEZ MARCIAL Y OTRO S/ DAÑOS Y PERJUICIOS (SUMARIO)"</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643651 que amparaba -entre otros riesgos- por el de responsabilidad civil hacia terceros, al vehículo FIAT FIORINO dominio KLR774, a nombre de OLMEDO GONZÁLEZ MARCIAL, con una vigencia desde el [VIGENCIA DESDE — A COMPLETAR] al [VIGENCIA HASTA — A COMPLETAR] y con el límite de responsabilidad por acontecimiento establecido en las condiciones particulares ([LÍMITE DE COBERTURA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FIAT FIORINO dominio KLR774, se hallaba asegurado por mi representada, bajo la póliza 643651, por riesgo de "Responsabilidad Civil con límite" (hasta [LÍMITE DE COBERTURA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OPONIBILIDAD DE LAS CLÁUSULAS DE SEGURO</w:t>
      </w:r>
    </w:p>
    <w:p>
      <w:pPr>
        <w:spacing w:before="0" w:after="120"/>
        <w:jc w:val="both"/>
      </w:pPr>
      <w:r>
        <w:rPr>
          <w:rFonts w:ascii="Arial" w:hAnsi="Arial"/>
          <w:b w:val="0"/>
          <w:i w:val="0"/>
          <w:sz w:val="22"/>
          <w:u w:val="none"/>
        </w:rPr>
        <w:t>### OPONIBILIDAD DE LAS CLÁUSULAS DEL CONTRATO DE SEGURO</w:t>
      </w:r>
    </w:p>
    <w:p>
      <w:pPr>
        <w:spacing w:before="0" w:after="120"/>
        <w:jc w:val="both"/>
      </w:pPr>
      <w:r>
        <w:rPr>
          <w:rFonts w:ascii="Arial" w:hAnsi="Arial"/>
          <w:b w:val="0"/>
          <w:i w:val="0"/>
          <w:sz w:val="22"/>
          <w:u w:val="none"/>
        </w:rPr>
        <w:t>La póliza de seguro es un contrato indivisible. Sus cláusulas — condiciones generales, particulares y especiales — forman un todo unitario que no puede ser fragmentado para beneficiar selectivamente a una parte. El tercero damnificado que acciona contra la aseguradora en los términos del art. 118 de la Ley de Seguros (Ley 17.418) no adquiere más derechos que los que tiene el asegurado frente a su asegurador; el límite de la obligación de la aseguradora es siempre "en la medida del seguro".</w:t>
      </w:r>
    </w:p>
    <w:p>
      <w:pPr>
        <w:spacing w:before="0" w:after="120"/>
        <w:jc w:val="both"/>
      </w:pPr>
      <w:r>
        <w:rPr>
          <w:rFonts w:ascii="Arial" w:hAnsi="Arial"/>
          <w:b w:val="0"/>
          <w:i w:val="0"/>
          <w:sz w:val="22"/>
          <w:u w:val="none"/>
        </w:rPr>
        <w:t>Art. 118 Ley 17.418: "El damnificado puede citar en garantía al asegurador hasta que se reciba la causa a prueba. En tal caso debe interponer la demanda ante el juez del lugar del hecho o del domicilio del asegurador. El asegurador puede hacer valer todas las defensas que tenga contra el asegurado. La sentencia que se dicte hará cosa juzgada respecto del asegurador y será ejecutable contra él en la medida del seguro."</w:t>
      </w:r>
    </w:p>
    <w:p>
      <w:pPr>
        <w:spacing w:before="0" w:after="120"/>
        <w:jc w:val="both"/>
      </w:pPr>
      <w:r>
        <w:rPr>
          <w:rFonts w:ascii="Arial" w:hAnsi="Arial"/>
          <w:b w:val="0"/>
          <w:i w:val="0"/>
          <w:sz w:val="22"/>
          <w:u w:val="none"/>
        </w:rPr>
        <w:t>Esta limitación no es una cláusula abusiva ni una restricción de derechos; es la esencia misma del contrato de seguro y la condición bajo la cual la aseguradora prestó su consentimiento (CCyCN arts. 957, 959, 1021 y 1022). Pretender que la aseguradora responda más allá del límite contratado importaría violar el principio de autonomía de la voluntad (art. 957 CCyCN), el derecho de propiedad (CN art. 17) y el principio de razonabilidad (CN art. 28).</w:t>
      </w:r>
    </w:p>
    <w:p>
      <w:pPr>
        <w:spacing w:before="0" w:after="120"/>
        <w:jc w:val="both"/>
      </w:pPr>
      <w:r>
        <w:rPr>
          <w:rFonts w:ascii="Arial" w:hAnsi="Arial"/>
          <w:b w:val="0"/>
          <w:i w:val="0"/>
          <w:sz w:val="22"/>
          <w:u w:val="none"/>
        </w:rPr>
        <w:t>Jurisprudencia de la Corte Suprema de Justicia de la Nación:</w:t>
      </w:r>
    </w:p>
    <w:p>
      <w:pPr>
        <w:spacing w:before="0" w:after="120"/>
        <w:jc w:val="both"/>
      </w:pPr>
      <w:r>
        <w:rPr>
          <w:rFonts w:ascii="Arial" w:hAnsi="Arial"/>
          <w:b w:val="0"/>
          <w:i w:val="0"/>
          <w:sz w:val="22"/>
          <w:u w:val="none"/>
        </w:rPr>
        <w:t>La CSJN ha establecido en forma reiterada y pacífica que las cláusulas del contrato de seguro son oponibles al tercero damnificado:</w:t>
      </w:r>
    </w:p>
    <w:p>
      <w:pPr>
        <w:spacing w:before="0" w:after="120"/>
        <w:jc w:val="both"/>
      </w:pPr>
      <w:r>
        <w:rPr>
          <w:rFonts w:ascii="Arial" w:hAnsi="Arial"/>
          <w:b w:val="0"/>
          <w:i w:val="0"/>
          <w:sz w:val="22"/>
          <w:u w:val="none"/>
        </w:rPr>
        <w:t>- "Flores c/ Giménez" — CSJ 678/2013 (49-F)/CS1, sentencia del 6 de junio de 2017: la Corte reafirmó que la condena a la aseguradora no puede exceder el límite de cobertura pactado en la póliza, pues el tercero no puede tener más derechos que el propio asegurado. El seguro obligatorio no convierte a la aseguradora en garante ilimitado de cualquier condena.</w:t>
      </w:r>
    </w:p>
    <w:p>
      <w:pPr>
        <w:spacing w:before="0" w:after="120"/>
        <w:jc w:val="both"/>
      </w:pPr>
      <w:r>
        <w:rPr>
          <w:rFonts w:ascii="Arial" w:hAnsi="Arial"/>
          <w:b w:val="0"/>
          <w:i w:val="0"/>
          <w:sz w:val="22"/>
          <w:u w:val="none"/>
        </w:rPr>
        <w:t>- "Martínez de Costa c/ Vallejos" — CSJ 1319/2008: la Corte sostuvo que las cláusulas limitativas del contrato de seguro son plenamente oponibles al tercero damnificado, en tanto la aseguradora sólo asume la obligación en la medida de lo contratado.</w:t>
      </w:r>
    </w:p>
    <w:p>
      <w:pPr>
        <w:spacing w:before="0" w:after="120"/>
        <w:jc w:val="both"/>
      </w:pPr>
      <w:r>
        <w:rPr>
          <w:rFonts w:ascii="Arial" w:hAnsi="Arial"/>
          <w:b w:val="0"/>
          <w:i w:val="0"/>
          <w:sz w:val="22"/>
          <w:u w:val="none"/>
        </w:rPr>
        <w:t>- "Buffoni c/ Castro" — Fallos: 337:329 (2014): la Corte, con remisión al dictamen del Procurador General, confirmó que la franquicia pactada en el contrato de seguro es oponible al tercero damnificado y que la aseguradora no puede ser condenada más allá del límite convenido.</w:t>
      </w:r>
    </w:p>
    <w:p>
      <w:pPr>
        <w:spacing w:before="0" w:after="120"/>
        <w:jc w:val="both"/>
      </w:pPr>
      <w:r>
        <w:rPr>
          <w:rFonts w:ascii="Arial" w:hAnsi="Arial"/>
          <w:b w:val="0"/>
          <w:i w:val="0"/>
          <w:sz w:val="22"/>
          <w:u w:val="none"/>
        </w:rPr>
        <w:t>- "Álvarez c/ Moscatelli" — CIV 1728/2017/CS1, sentencia del 14 de diciembre de 2023: la Corte ratificó su doctrina de oponibilidad de los límites contractuales de cobertura frente a terceros damnificados, rechazando el argumento de que el seguro obligatorio impone cobertura ilimitada.</w:t>
      </w:r>
    </w:p>
    <w:p>
      <w:pPr>
        <w:spacing w:before="0" w:after="120"/>
        <w:jc w:val="both"/>
      </w:pPr>
      <w:r>
        <w:rPr>
          <w:rFonts w:ascii="Arial" w:hAnsi="Arial"/>
          <w:b w:val="0"/>
          <w:i w:val="0"/>
          <w:sz w:val="22"/>
          <w:u w:val="none"/>
        </w:rPr>
        <w:t>- "Aimar c/ Molina" — Expte. 31171/2012, sentencia del 24 de abril de 2018: la Corte reiteró que la sentencia de condena a la aseguradora debe circunscribirse a los términos y límites del contrato de seguro, sin que pueda ser extendida más allá de lo pactado.</w:t>
      </w:r>
    </w:p>
    <w:p>
      <w:pPr>
        <w:spacing w:before="0" w:after="120"/>
        <w:jc w:val="both"/>
      </w:pPr>
      <w:r>
        <w:rPr>
          <w:rFonts w:ascii="Arial" w:hAnsi="Arial"/>
          <w:b w:val="0"/>
          <w:i w:val="0"/>
          <w:sz w:val="22"/>
          <w:u w:val="none"/>
        </w:rPr>
        <w:t>Marco normativo aplicable:</w:t>
      </w:r>
    </w:p>
    <w:p>
      <w:pPr>
        <w:spacing w:before="0" w:after="120"/>
        <w:jc w:val="both"/>
      </w:pPr>
      <w:r>
        <w:rPr>
          <w:rFonts w:ascii="Arial" w:hAnsi="Arial"/>
          <w:b w:val="0"/>
          <w:i w:val="0"/>
          <w:sz w:val="22"/>
          <w:u w:val="none"/>
        </w:rPr>
        <w:t>- Ley 17.418 (Ley de Seguros): arts. 109-120 (seguro de responsabilidad civil), art. 118 (citación en garantía y límite "en la medida del seguro").</w:t>
        <w:br/>
        <w:t>- Ley 20.091 (Ley de Entidades Aseguradoras): arts. 1, 23-26, 64 y 67. El Estado aprueba las condiciones de póliza; las cláusulas aprobadas por la Superintendencia de Seguros de la Nación son de orden público del sector asegurador y no pueden ser ignoradas por los jueces.</w:t>
        <w:br/>
        <w:t>- Ley 24.449 (Ley de Tránsito): art. 68 (seguro obligatorio). El seguro obligatorio impone la contratación de un piso mínimo de cobertura, no una cobertura ilimitada. La aseguradora responde hasta el límite del seguro contratado, incluyendo el mínimo obligatorio.</w:t>
        <w:br/>
        <w:t>- CCyCN: arts. 957 (autonomía de la voluntad), 959 (efecto vinculante del contrato), 1021 (efectos del contrato respecto de terceros) y 1022 (situación jurídica del tercero).</w:t>
        <w:br/>
        <w:t>- Constitución Nacional: arts. 17 (derecho de propiedad) y 28 (principio de razonabilidad).</w:t>
      </w:r>
    </w:p>
    <w:p>
      <w:pPr>
        <w:spacing w:before="0" w:after="120"/>
        <w:jc w:val="both"/>
      </w:pPr>
      <w:r>
        <w:rPr>
          <w:rFonts w:ascii="Arial" w:hAnsi="Arial"/>
          <w:b w:val="0"/>
          <w:i w:val="0"/>
          <w:sz w:val="22"/>
          <w:u w:val="none"/>
        </w:rPr>
        <w:t>Conclusión:</w:t>
      </w:r>
    </w:p>
    <w:p>
      <w:pPr>
        <w:spacing w:before="0" w:after="120"/>
        <w:jc w:val="both"/>
      </w:pPr>
      <w:r>
        <w:rPr>
          <w:rFonts w:ascii="Arial" w:hAnsi="Arial"/>
          <w:b w:val="0"/>
          <w:i w:val="0"/>
          <w:sz w:val="22"/>
          <w:u w:val="none"/>
        </w:rPr>
        <w:t>Por todo lo expuesto, solicito a V.S. que, en caso de condenar a mi representada, la sentencia se haga extensiva a LIBRA COMPAÑÍA ARGENTINA DE SEGUROS S.A. sólo hasta el límite de cobertura pactado en la póliza, conforme lo establece el art. 118 de la Ley 17.418 y la doctrina reiterada de la Corte Suprema de Justicia de la Nación. Cualquier condena que exceda ese límite será, respecto de mi representada, de cumplimiento imposible y contraria a derecho, sin perjuicio de los derechos que correspondan a los actores frente al asegurado.</w:t>
      </w:r>
    </w:p>
    <w:p>
      <w:pPr>
        <w:spacing w:before="200" w:after="80"/>
        <w:jc w:val="both"/>
      </w:pPr>
      <w:r>
        <w:rPr>
          <w:rFonts w:ascii="Arial" w:hAnsi="Arial"/>
          <w:b/>
          <w:i w:val="0"/>
          <w:sz w:val="22"/>
          <w:u w:val="single"/>
        </w:rPr>
        <w:t>VI.</w:t>
        <w:tab/>
        <w:t>DEFENSA EN JUICIO DEL ASEGURADO</w:t>
      </w:r>
    </w:p>
    <w:p>
      <w:pPr>
        <w:spacing w:before="0" w:after="120"/>
        <w:jc w:val="both"/>
      </w:pPr>
      <w:r>
        <w:rPr>
          <w:rFonts w:ascii="Arial" w:hAnsi="Arial"/>
          <w:b w:val="0"/>
          <w:i w:val="0"/>
          <w:sz w:val="22"/>
          <w:u w:val="none"/>
        </w:rPr>
        <w:t>### DEFENSA EN JUICIO DEL ASEGURADO</w:t>
        <w:br/>
        <w:br/>
        <w:t>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pPr>
        <w:spacing w:before="200" w:after="80"/>
        <w:jc w:val="both"/>
      </w:pPr>
      <w:r>
        <w:rPr>
          <w:rFonts w:ascii="Arial" w:hAnsi="Arial"/>
          <w:b/>
          <w:i w:val="0"/>
          <w:sz w:val="22"/>
          <w:u w:val="single"/>
        </w:rPr>
        <w:t>VII.</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VIII.</w:t>
        <w:tab/>
        <w:t>DESCONOCE DOCUMENTAL</w:t>
      </w:r>
    </w:p>
    <w:p>
      <w:pPr>
        <w:spacing w:before="0" w:after="120"/>
        <w:jc w:val="both"/>
      </w:pPr>
      <w:r>
        <w:rPr>
          <w:rFonts w:ascii="Arial" w:hAnsi="Arial"/>
          <w:b w:val="0"/>
          <w:i w:val="0"/>
          <w:sz w:val="22"/>
          <w:u w:val="none"/>
        </w:rPr>
        <w:t>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En particular, niego y desconozco:</w:t>
      </w:r>
    </w:p>
    <w:p>
      <w:pPr>
        <w:spacing w:before="0" w:after="60"/>
        <w:ind w:left="283"/>
        <w:jc w:val="both"/>
      </w:pPr>
      <w:r>
        <w:rPr>
          <w:rFonts w:ascii="Arial" w:hAnsi="Arial"/>
          <w:b w:val="0"/>
          <w:i w:val="0"/>
          <w:sz w:val="22"/>
          <w:u w:val="none"/>
        </w:rPr>
        <w:t>• Fotocopias del DNI de los co-actores Kumazawa y Gavilán</w:t>
      </w:r>
    </w:p>
    <w:p>
      <w:pPr>
        <w:spacing w:before="0" w:after="60"/>
        <w:ind w:left="283"/>
        <w:jc w:val="both"/>
      </w:pPr>
      <w:r>
        <w:rPr>
          <w:rFonts w:ascii="Arial" w:hAnsi="Arial"/>
          <w:b w:val="0"/>
          <w:i w:val="0"/>
          <w:sz w:val="22"/>
          <w:u w:val="none"/>
        </w:rPr>
        <w:t>• Acta de mediación prejudicial obligatoria</w:t>
      </w:r>
    </w:p>
    <w:p>
      <w:pPr>
        <w:spacing w:before="0" w:after="60"/>
        <w:ind w:left="283"/>
        <w:jc w:val="both"/>
      </w:pPr>
      <w:r>
        <w:rPr>
          <w:rFonts w:ascii="Arial" w:hAnsi="Arial"/>
          <w:b w:val="0"/>
          <w:i w:val="0"/>
          <w:sz w:val="22"/>
          <w:u w:val="none"/>
        </w:rPr>
        <w:t>• Copia de la licencia de conducir del actor Kumazawa</w:t>
      </w:r>
    </w:p>
    <w:p>
      <w:pPr>
        <w:spacing w:before="0" w:after="60"/>
        <w:ind w:left="283"/>
        <w:jc w:val="both"/>
      </w:pPr>
      <w:r>
        <w:rPr>
          <w:rFonts w:ascii="Arial" w:hAnsi="Arial"/>
          <w:b w:val="0"/>
          <w:i w:val="0"/>
          <w:sz w:val="22"/>
          <w:u w:val="none"/>
        </w:rPr>
        <w:t>• Copia de declaración testimonial en sede penal</w:t>
      </w:r>
    </w:p>
    <w:p>
      <w:pPr>
        <w:spacing w:before="0" w:after="60"/>
        <w:ind w:left="283"/>
        <w:jc w:val="both"/>
      </w:pPr>
      <w:r>
        <w:rPr>
          <w:rFonts w:ascii="Arial" w:hAnsi="Arial"/>
          <w:b w:val="0"/>
          <w:i w:val="0"/>
          <w:sz w:val="22"/>
          <w:u w:val="none"/>
        </w:rPr>
        <w:t>• Siete imágenes ilustrativas del daño del vehículo del actor</w:t>
      </w:r>
    </w:p>
    <w:p>
      <w:pPr>
        <w:spacing w:before="0" w:after="60"/>
        <w:ind w:left="283"/>
        <w:jc w:val="both"/>
      </w:pPr>
      <w:r>
        <w:rPr>
          <w:rFonts w:ascii="Arial" w:hAnsi="Arial"/>
          <w:b w:val="0"/>
          <w:i w:val="0"/>
          <w:sz w:val="22"/>
          <w:u w:val="none"/>
        </w:rPr>
        <w:t>• CD de estudios médicos del co-actor</w:t>
      </w:r>
    </w:p>
    <w:p>
      <w:pPr>
        <w:spacing w:before="200" w:after="80"/>
        <w:jc w:val="both"/>
      </w:pPr>
      <w:r>
        <w:rPr>
          <w:rFonts w:ascii="Arial" w:hAnsi="Arial"/>
          <w:b/>
          <w:i w:val="0"/>
          <w:sz w:val="22"/>
          <w:u w:val="single"/>
        </w:rPr>
        <w:t>IX.</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1. Que El co-actor Kumazawa Gustavo Gabriel, DNI 26.734.652, se encontraba conduciendo el vehículo Fiat Fiorino dominio IAJ773 al momento del presunto accidente.</w:t>
      </w:r>
    </w:p>
    <w:p>
      <w:pPr>
        <w:spacing w:before="0" w:after="80"/>
        <w:jc w:val="both"/>
      </w:pPr>
      <w:r>
        <w:rPr>
          <w:rFonts w:ascii="Arial" w:hAnsi="Arial"/>
          <w:b w:val="0"/>
          <w:i w:val="0"/>
          <w:sz w:val="22"/>
          <w:u w:val="none"/>
        </w:rPr>
        <w:t>2. Que El co-actor Gavilán Guillermo Noel, DNI 39.337.010, circulaba como acompañante en el vehículo IAJ773 al momento del presunto accidente.</w:t>
      </w:r>
    </w:p>
    <w:p>
      <w:pPr>
        <w:spacing w:before="0" w:after="80"/>
        <w:jc w:val="both"/>
      </w:pPr>
      <w:r>
        <w:rPr>
          <w:rFonts w:ascii="Arial" w:hAnsi="Arial"/>
          <w:b w:val="0"/>
          <w:i w:val="0"/>
          <w:sz w:val="22"/>
          <w:u w:val="none"/>
        </w:rPr>
        <w:t>3. Que El presunto accidente ocurrió el 24 de octubre de 2023 (también mencionado como 23/10/2023 en la demanda) en la Autopista Camino del Buen Ayre, bajada con Jorge Newbery y Colpayo, Mariano Acosta.</w:t>
      </w:r>
    </w:p>
    <w:p>
      <w:pPr>
        <w:spacing w:before="0" w:after="80"/>
        <w:jc w:val="both"/>
      </w:pPr>
      <w:r>
        <w:rPr>
          <w:rFonts w:ascii="Arial" w:hAnsi="Arial"/>
          <w:b w:val="0"/>
          <w:i w:val="0"/>
          <w:sz w:val="22"/>
          <w:u w:val="none"/>
        </w:rPr>
        <w:t>4. Que El vehículo de los actores (Fiat Fiorino IAJ773) circulaba por el carril lento de la autopista con sentido hacia Mariano Acosta/Pontevedra.</w:t>
      </w:r>
    </w:p>
    <w:p>
      <w:pPr>
        <w:spacing w:before="0" w:after="80"/>
        <w:jc w:val="both"/>
      </w:pPr>
      <w:r>
        <w:rPr>
          <w:rFonts w:ascii="Arial" w:hAnsi="Arial"/>
          <w:b w:val="0"/>
          <w:i w:val="0"/>
          <w:sz w:val="22"/>
          <w:u w:val="none"/>
        </w:rPr>
        <w:t>5. Que El vehículo demandado Fiat Fiorino dominio KLR774, conducido por Olmedo González Marcial, circulaba por el carril del medio de la autopista en el mismo sentido que los actores.</w:t>
      </w:r>
    </w:p>
    <w:p>
      <w:pPr>
        <w:spacing w:before="0" w:after="80"/>
        <w:jc w:val="both"/>
      </w:pPr>
      <w:r>
        <w:rPr>
          <w:rFonts w:ascii="Arial" w:hAnsi="Arial"/>
          <w:b w:val="0"/>
          <w:i w:val="0"/>
          <w:sz w:val="22"/>
          <w:u w:val="none"/>
        </w:rPr>
        <w:t>6. Que El vehículo KLR774 realizó una maniobra brusca y antirreglamentaria para tomar la salida o bajada a la calle Jorge Newbery, invadiendo a exceso de velocidad el carril lento.</w:t>
      </w:r>
    </w:p>
    <w:p>
      <w:pPr>
        <w:spacing w:before="0" w:after="80"/>
        <w:jc w:val="both"/>
      </w:pPr>
      <w:r>
        <w:rPr>
          <w:rFonts w:ascii="Arial" w:hAnsi="Arial"/>
          <w:b w:val="0"/>
          <w:i w:val="0"/>
          <w:sz w:val="22"/>
          <w:u w:val="none"/>
        </w:rPr>
        <w:t>7. Que El vehículo KLR774 quedó atravesado en el medio de la autopista, interponiéndose en la trayectoria del rodado de los actores IAJ773.</w:t>
      </w:r>
    </w:p>
    <w:p>
      <w:pPr>
        <w:spacing w:before="0" w:after="80"/>
        <w:jc w:val="both"/>
      </w:pPr>
      <w:r>
        <w:rPr>
          <w:rFonts w:ascii="Arial" w:hAnsi="Arial"/>
          <w:b w:val="0"/>
          <w:i w:val="0"/>
          <w:sz w:val="22"/>
          <w:u w:val="none"/>
        </w:rPr>
        <w:t>8. Que El asegurado Olmedo González Marcial es el agente activo e iniciador del choque, siendo el automóvil KLR774 el embistente.</w:t>
      </w:r>
    </w:p>
    <w:p>
      <w:pPr>
        <w:spacing w:before="0" w:after="80"/>
        <w:jc w:val="both"/>
      </w:pPr>
      <w:r>
        <w:rPr>
          <w:rFonts w:ascii="Arial" w:hAnsi="Arial"/>
          <w:b w:val="0"/>
          <w:i w:val="0"/>
          <w:sz w:val="22"/>
          <w:u w:val="none"/>
        </w:rPr>
        <w:t>9. Que A raíz de la colisión, el co-actor Kumazawa sufrió politraumatismo, lumbalgia, cervicalgia, estrés postraumático, contusión de miembros inferiores, escoriaciones y hematomas múltiples.</w:t>
      </w:r>
    </w:p>
    <w:p>
      <w:pPr>
        <w:spacing w:before="0" w:after="80"/>
        <w:jc w:val="both"/>
      </w:pPr>
      <w:r>
        <w:rPr>
          <w:rFonts w:ascii="Arial" w:hAnsi="Arial"/>
          <w:b w:val="0"/>
          <w:i w:val="0"/>
          <w:sz w:val="22"/>
          <w:u w:val="none"/>
        </w:rPr>
        <w:t>10. Que A raíz de la colisión, el co-actor Gavilán Guillermo Noel sufrió politraumatismo, lumbalgia, cervicalgia, estrés postraumático, contusión de miembros inferiores, escoriaciones y hematomas múltiples.</w:t>
      </w:r>
    </w:p>
    <w:p>
      <w:pPr>
        <w:spacing w:before="0" w:after="80"/>
        <w:jc w:val="both"/>
      </w:pPr>
      <w:r>
        <w:rPr>
          <w:rFonts w:ascii="Arial" w:hAnsi="Arial"/>
          <w:b w:val="0"/>
          <w:i w:val="0"/>
          <w:sz w:val="22"/>
          <w:u w:val="none"/>
        </w:rPr>
        <w:t>11. Que Ambos actores fueron trasladados al Hospital Héroes de Malvinas con motivo del presunto accidente.</w:t>
      </w:r>
    </w:p>
    <w:p>
      <w:pPr>
        <w:spacing w:before="0" w:after="80"/>
        <w:jc w:val="both"/>
      </w:pPr>
      <w:r>
        <w:rPr>
          <w:rFonts w:ascii="Arial" w:hAnsi="Arial"/>
          <w:b w:val="0"/>
          <w:i w:val="0"/>
          <w:sz w:val="22"/>
          <w:u w:val="none"/>
        </w:rPr>
        <w:t>12. Que Al día de la interposición de la demanda persisten dolores, molestias y consecuencias dañosas en ambos actores, con secuelas incapacitantes.</w:t>
      </w:r>
    </w:p>
    <w:p>
      <w:pPr>
        <w:spacing w:before="0" w:after="80"/>
        <w:jc w:val="both"/>
      </w:pPr>
      <w:r>
        <w:rPr>
          <w:rFonts w:ascii="Arial" w:hAnsi="Arial"/>
          <w:b w:val="0"/>
          <w:i w:val="0"/>
          <w:sz w:val="22"/>
          <w:u w:val="none"/>
        </w:rPr>
        <w:t>13. Que El co-actor Kumazawa Gustavo Gabriel, nacido el 26/07/1978 (45 años al momento del accidente), se desempeñaba como empleado al momento del hecho.</w:t>
      </w:r>
    </w:p>
    <w:p>
      <w:pPr>
        <w:spacing w:before="0" w:after="80"/>
        <w:jc w:val="both"/>
      </w:pPr>
      <w:r>
        <w:rPr>
          <w:rFonts w:ascii="Arial" w:hAnsi="Arial"/>
          <w:b w:val="0"/>
          <w:i w:val="0"/>
          <w:sz w:val="22"/>
          <w:u w:val="none"/>
        </w:rPr>
        <w:t>14. Que El co-actor Gavilán Guillermo Noel, nacido el 06/02/1996 (28 años al momento del accidente), se desempeñaba como empleado al momento del hecho.</w:t>
      </w:r>
    </w:p>
    <w:p>
      <w:pPr>
        <w:spacing w:before="0" w:after="80"/>
        <w:jc w:val="both"/>
      </w:pPr>
      <w:r>
        <w:rPr>
          <w:rFonts w:ascii="Arial" w:hAnsi="Arial"/>
          <w:b w:val="0"/>
          <w:i w:val="0"/>
          <w:sz w:val="22"/>
          <w:u w:val="none"/>
        </w:rPr>
        <w:t>15. Que Se instruyeron actuaciones penales caratuladas 'Lesiones Culposas' ante la comisaría zonal de Mariano Acosta con la Unidad Funcional de Instrucción.</w:t>
      </w:r>
    </w:p>
    <w:p>
      <w:pPr>
        <w:spacing w:before="0" w:after="80"/>
        <w:jc w:val="both"/>
      </w:pPr>
      <w:r>
        <w:rPr>
          <w:rFonts w:ascii="Arial" w:hAnsi="Arial"/>
          <w:b w:val="0"/>
          <w:i w:val="0"/>
          <w:sz w:val="22"/>
          <w:u w:val="none"/>
        </w:rPr>
        <w:t>16. Que El demandado Olmedo González Marcial no respetó las señales de tránsito, manejó su vehículo a altas velocidades y perdió el control y dominio del mismo.</w:t>
      </w:r>
    </w:p>
    <w:p>
      <w:pPr>
        <w:spacing w:before="0" w:after="80"/>
        <w:jc w:val="both"/>
      </w:pPr>
      <w:r>
        <w:rPr>
          <w:rFonts w:ascii="Arial" w:hAnsi="Arial"/>
          <w:b w:val="0"/>
          <w:i w:val="0"/>
          <w:sz w:val="22"/>
          <w:u w:val="none"/>
        </w:rPr>
        <w:t>17. Que El co-actor Kumazawa reclama $3.000.000 por incapacidad psicofísica y daño estético.</w:t>
      </w:r>
    </w:p>
    <w:p>
      <w:pPr>
        <w:spacing w:before="0" w:after="80"/>
        <w:jc w:val="both"/>
      </w:pPr>
      <w:r>
        <w:rPr>
          <w:rFonts w:ascii="Arial" w:hAnsi="Arial"/>
          <w:b w:val="0"/>
          <w:i w:val="0"/>
          <w:sz w:val="22"/>
          <w:u w:val="none"/>
        </w:rPr>
        <w:t>18. Que El co-actor Kumazawa reclama $2.000.000 por daño moral.</w:t>
      </w:r>
    </w:p>
    <w:p>
      <w:pPr>
        <w:spacing w:before="0" w:after="80"/>
        <w:jc w:val="both"/>
      </w:pPr>
      <w:r>
        <w:rPr>
          <w:rFonts w:ascii="Arial" w:hAnsi="Arial"/>
          <w:b w:val="0"/>
          <w:i w:val="0"/>
          <w:sz w:val="22"/>
          <w:u w:val="none"/>
        </w:rPr>
        <w:t>19. Que El co-actor Kumazawa reclama $500.000 por gastos terapéuticos y tratamiento psicológico.</w:t>
      </w:r>
    </w:p>
    <w:p>
      <w:pPr>
        <w:spacing w:before="0" w:after="80"/>
        <w:jc w:val="both"/>
      </w:pPr>
      <w:r>
        <w:rPr>
          <w:rFonts w:ascii="Arial" w:hAnsi="Arial"/>
          <w:b w:val="0"/>
          <w:i w:val="0"/>
          <w:sz w:val="22"/>
          <w:u w:val="none"/>
        </w:rPr>
        <w:t>20. Que El co-actor Gavilán Guillermo Noel reclama $2.000.000 por incapacidad psicofísica y daño estético.</w:t>
      </w:r>
    </w:p>
    <w:p>
      <w:pPr>
        <w:spacing w:before="0" w:after="80"/>
        <w:jc w:val="both"/>
      </w:pPr>
      <w:r>
        <w:rPr>
          <w:rFonts w:ascii="Arial" w:hAnsi="Arial"/>
          <w:b w:val="0"/>
          <w:i w:val="0"/>
          <w:sz w:val="22"/>
          <w:u w:val="none"/>
        </w:rPr>
        <w:t>21. Que El co-actor Gavilán reclama $1.000.000 por daño moral.</w:t>
      </w:r>
    </w:p>
    <w:p>
      <w:pPr>
        <w:spacing w:before="0" w:after="80"/>
        <w:jc w:val="both"/>
      </w:pPr>
      <w:r>
        <w:rPr>
          <w:rFonts w:ascii="Arial" w:hAnsi="Arial"/>
          <w:b w:val="0"/>
          <w:i w:val="0"/>
          <w:sz w:val="22"/>
          <w:u w:val="none"/>
        </w:rPr>
        <w:t>22. Que El co-actor Gavilán reclama $500.000 por gastos terapéuticos y tratamiento psicológico.</w:t>
      </w:r>
    </w:p>
    <w:p>
      <w:pPr>
        <w:spacing w:before="0" w:after="80"/>
        <w:jc w:val="both"/>
      </w:pPr>
      <w:r>
        <w:rPr>
          <w:rFonts w:ascii="Arial" w:hAnsi="Arial"/>
          <w:b w:val="0"/>
          <w:i w:val="0"/>
          <w:sz w:val="22"/>
          <w:u w:val="none"/>
        </w:rPr>
        <w:t>23. Que El actor Kumazawa no tuvo cobertura de ART ni Obra Social al momento del accidente.</w:t>
      </w:r>
    </w:p>
    <w:p>
      <w:pPr>
        <w:spacing w:before="0" w:after="80"/>
        <w:jc w:val="both"/>
      </w:pPr>
      <w:r>
        <w:rPr>
          <w:rFonts w:ascii="Arial" w:hAnsi="Arial"/>
          <w:b w:val="0"/>
          <w:i w:val="0"/>
          <w:sz w:val="22"/>
          <w:u w:val="none"/>
        </w:rPr>
        <w:t>24. Que El actor Gavilán no tuvo cobertura de ART ni Obra Social al momento del accidente.</w:t>
      </w:r>
    </w:p>
    <w:p>
      <w:pPr>
        <w:spacing w:before="0" w:after="80"/>
        <w:jc w:val="both"/>
      </w:pPr>
      <w:r>
        <w:rPr>
          <w:rFonts w:ascii="Arial" w:hAnsi="Arial"/>
          <w:b w:val="0"/>
          <w:i w:val="0"/>
          <w:sz w:val="22"/>
          <w:u w:val="none"/>
        </w:rPr>
        <w:t>25. Que La responsabilidad de la aseguradora Libra emerge del contenido de la póliza 643651 y del art. 118 de la Ley 17.418, siendo inoponible cualquier franquicia o descubierto a cargo del asegurado.</w:t>
      </w:r>
    </w:p>
    <w:p>
      <w:pPr>
        <w:spacing w:before="0" w:after="80"/>
        <w:jc w:val="both"/>
      </w:pPr>
      <w:r>
        <w:rPr>
          <w:rFonts w:ascii="Arial" w:hAnsi="Arial"/>
          <w:b w:val="0"/>
          <w:i w:val="0"/>
          <w:sz w:val="22"/>
          <w:u w:val="none"/>
        </w:rPr>
        <w:t>26. Que El actor solicita que el monto de condena sea establecido a valores vigentes a la fecha de la sentencia.</w:t>
      </w:r>
    </w:p>
    <w:p>
      <w:pPr>
        <w:spacing w:before="200" w:after="80"/>
        <w:jc w:val="both"/>
      </w:pPr>
      <w:r>
        <w:rPr>
          <w:rFonts w:ascii="Arial" w:hAnsi="Arial"/>
          <w:b/>
          <w:i w:val="0"/>
          <w:sz w:val="22"/>
          <w:u w:val="single"/>
        </w:rPr>
        <w:t>X.</w:t>
        <w:tab/>
        <w:t>EXCEPCIONES PREVIAS</w:t>
      </w:r>
    </w:p>
    <w:p>
      <w:pPr>
        <w:spacing w:before="0" w:after="120"/>
        <w:ind w:left="283"/>
        <w:jc w:val="both"/>
      </w:pPr>
      <w:r>
        <w:rPr>
          <w:rFonts w:ascii="Arial" w:hAnsi="Arial"/>
          <w:b w:val="0"/>
          <w:i w:val="0"/>
          <w:sz w:val="22"/>
          <w:u w:val="none"/>
        </w:rPr>
        <w:t>: El siniestro ocurrió el 24/10/2023. La demanda fue firmada el 10/08/2024, es decir dentro del plazo de 3 años del art. 2561 CCC. Sin embargo, el art. 58 de la Ley de Seguros establece un plazo de prescripción de un año para las acciones del contrato de seguro. Debe verificarse urgentemente: (a) fecha de denuncia del siniestro ante Libra, (b) fecha de inicio de la mediación prejudicial que suspende el plazo (art. 18 Ley 26.589). Si la mediación fue iniciada después del 24/10/2024, el plazo del art. 58 LS podría estar vencido. ACCIÓN CRÍTICA: confirmar con el expediente de siniestros.</w:t>
      </w:r>
    </w:p>
    <w:p>
      <w:pPr>
        <w:spacing w:before="200" w:after="80"/>
        <w:jc w:val="both"/>
      </w:pPr>
      <w:r>
        <w:rPr>
          <w:rFonts w:ascii="Arial" w:hAnsi="Arial"/>
          <w:b/>
          <w:i w:val="0"/>
          <w:sz w:val="22"/>
          <w:u w:val="single"/>
        </w:rPr>
        <w:t>XI.</w:t>
        <w:tab/>
        <w:t>DEFENSA DE FONDO</w:t>
      </w:r>
    </w:p>
    <w:p>
      <w:pPr>
        <w:spacing w:before="80" w:after="80"/>
        <w:jc w:val="both"/>
      </w:pPr>
      <w:r>
        <w:rPr>
          <w:rFonts w:ascii="Arial" w:hAnsi="Arial"/>
          <w:b/>
          <w:i w:val="0"/>
          <w:sz w:val="22"/>
          <w:u w:val="none"/>
        </w:rPr>
        <w:t xml:space="preserve">Culpa concurrente / hecho de la víctima (art. 1729 CCC). </w:t>
      </w:r>
      <w:r>
        <w:rPr>
          <w:rFonts w:ascii="Arial" w:hAnsi="Arial"/>
          <w:b w:val="0"/>
          <w:i w:val="0"/>
          <w:sz w:val="22"/>
          <w:u w:val="none"/>
        </w:rPr>
        <w:t>Sin perjuicio de la negativa general de los hechos, y para el improbable supuesto de que V.S. tuviera por acreditado el siniestro en los términos de la demanda, esta parte invoca la culpa concurrente de los actores en la producción del evento. La Autopista Camino del Buen Ayre es una vía de circulación rápida que impone a todos los conductores el deber de atención, previsión y dominio efectivo del rodado (art. 39 inc. b) Ley 24.449). El co-actor Kumazawa, conductor del vehículo IAJ773, no ha aportado prueba alguna de que circulara a velocidad reglamentaria, con debida atención al tránsito circundante y con capacidad de maniobra evasiva ante situaciones de emergencia. La determinación definitiva de la incidencia causal de cada vehículo queda sujeta a la producción de la prueba pericial accidentológica.</w:t>
      </w:r>
    </w:p>
    <w:p>
      <w:pPr>
        <w:spacing w:before="80" w:after="80"/>
        <w:jc w:val="both"/>
      </w:pPr>
      <w:r>
        <w:rPr>
          <w:rFonts w:ascii="Arial" w:hAnsi="Arial"/>
          <w:b/>
          <w:i w:val="0"/>
          <w:sz w:val="22"/>
          <w:u w:val="none"/>
        </w:rPr>
        <w:t xml:space="preserve">Impugnación de montos reclamados. </w:t>
      </w:r>
      <w:r>
        <w:rPr>
          <w:rFonts w:ascii="Arial" w:hAnsi="Arial"/>
          <w:b w:val="0"/>
          <w:i w:val="0"/>
          <w:sz w:val="22"/>
          <w:u w:val="none"/>
        </w:rPr>
        <w:t>Todos y cada uno de los montos reclamados por los actores resultan excesivos, improcedentes o insuficientemente fundados: (a) INCAPACIDAD PSICOFÍSICA: la demanda no especifica el porcentaje de incapacidad de ninguno de los dos actores, lo que hace imposible verificar la razonabilidad de los montos reclamados ($3.000.000 para Kumazawa y $2.000.000 para Gavilán). La cuantificación del rubro queda íntegramente sujeta a la pericia médica y psicológica. (b) DAÑO MORAL: los montos de $2.000.000 y $1.000.000 para Kumazawa y Gavilán respectivamente son desproporcionados para lesiones de tipo contusiones, escoriaciones y hematomas en ausencia de fracturas o lesiones graves documentadas. El daño moral debe ser efectivamente probado. (c) GASTOS TERAPÉUTICOS: los $500.000 reclamados por cada actor no están respaldados por comprobantes ni por una cuantificación médica del tratamiento necesario. Los gastos deben ser debidamente acreditados.</w:t>
      </w:r>
    </w:p>
    <w:p>
      <w:pPr>
        <w:spacing w:before="80" w:after="80"/>
        <w:jc w:val="both"/>
      </w:pPr>
      <w:r>
        <w:rPr>
          <w:rFonts w:ascii="Arial" w:hAnsi="Arial"/>
          <w:b/>
          <w:i w:val="0"/>
          <w:sz w:val="22"/>
          <w:u w:val="none"/>
        </w:rPr>
        <w:t xml:space="preserve">Oponibilidad del límite de cobertura (art. 118 Ley 17.418). </w:t>
      </w:r>
      <w:r>
        <w:rPr>
          <w:rFonts w:ascii="Arial" w:hAnsi="Arial"/>
          <w:b w:val="0"/>
          <w:i w:val="0"/>
          <w:sz w:val="22"/>
          <w:u w:val="none"/>
        </w:rPr>
        <w:t>Conforme lo detallado en la sección de oponibilidad, la condena a mi representada no puede exceder el límite de cobertura pactado en la póliza N° 643651. La CSJN ha establecido en forma reiterada (Flores c/ Giménez, Buffoni c/ Castro, Álvarez c/ Moscatelli) que las cláusulas del contrato de seguro son oponibles al tercero damnificado. Cualquier diferencia entre el monto de condena y el límite de la póliza deberá ser satisfecha exclusivamente por el asegurado Olmedo González Marcial.</w:t>
      </w:r>
    </w:p>
    <w:p>
      <w:pPr>
        <w:spacing w:before="200" w:after="80"/>
        <w:jc w:val="both"/>
      </w:pPr>
      <w:r>
        <w:rPr>
          <w:rFonts w:ascii="Arial" w:hAnsi="Arial"/>
          <w:b/>
          <w:i w:val="0"/>
          <w:sz w:val="22"/>
          <w:u w:val="single"/>
        </w:rPr>
        <w:t>XII.</w:t>
        <w:tab/>
        <w:t>IMPUGNACIÓN DE MONTOS RECLAMADOS</w:t>
      </w:r>
    </w:p>
    <w:p>
      <w:pPr>
        <w:spacing w:before="0" w:after="120"/>
        <w:jc w:val="both"/>
      </w:pPr>
      <w:r>
        <w:rPr>
          <w:rFonts w:ascii="Arial" w:hAnsi="Arial"/>
          <w:b w:val="0"/>
          <w:i w:val="0"/>
          <w:sz w:val="22"/>
          <w:u w:val="none"/>
        </w:rPr>
        <w:t>Sin perjuicio de la negativa general, y para el hipotético e improbable supuesto de que se admitiera parcialmente la pretensión, esta parte impugna los montos reclamados por los siguientes rubros:</w:t>
      </w:r>
    </w:p>
    <w:p>
      <w:pPr>
        <w:spacing w:before="80" w:after="80"/>
        <w:ind w:left="283"/>
        <w:jc w:val="both"/>
      </w:pPr>
      <w:r>
        <w:rPr>
          <w:rFonts w:ascii="Arial" w:hAnsi="Arial"/>
          <w:b/>
          <w:i w:val="0"/>
          <w:sz w:val="22"/>
          <w:u w:val="none"/>
        </w:rPr>
        <w:t>Incapacidad psicofísica y daño estético — co-actor Kumazawa</w:t>
      </w:r>
      <w:r>
        <w:rPr>
          <w:rFonts w:ascii="Arial" w:hAnsi="Arial"/>
          <w:b w:val="0"/>
          <w:i w:val="0"/>
          <w:sz w:val="22"/>
          <w:u w:val="none"/>
        </w:rPr>
        <w:t xml:space="preserve"> ($3.000.000)</w:t>
      </w:r>
      <w:r>
        <w:rPr>
          <w:rFonts w:ascii="Arial" w:hAnsi="Arial"/>
          <w:b w:val="0"/>
          <w:i w:val="0"/>
          <w:sz w:val="22"/>
          <w:u w:val="none"/>
        </w:rPr>
        <w:t>: La demanda no especifica el porcentaje de incapacidad del co-actor Kumazawa, limitándose a enunciar un conjunto de lesiones (politraumatismo, lumbalgia, cervicalgia, estrés postraumático, contusiones, escoriaciones y hematomas) que son genéricas e idénticas a las descriptas para el co-actor Gavilán. Sin porcentaje de incapacidad determinado, el monto de $3.000.000 carece de sustento técnico. La cuantificación del rubro queda íntegramente sujeta a la pericia médica y psicológica. Se impugna el monto por excesivo y especulativo.</w:t>
      </w:r>
    </w:p>
    <w:p>
      <w:pPr>
        <w:spacing w:before="80" w:after="80"/>
        <w:ind w:left="283"/>
        <w:jc w:val="both"/>
      </w:pPr>
      <w:r>
        <w:rPr>
          <w:rFonts w:ascii="Arial" w:hAnsi="Arial"/>
          <w:b/>
          <w:i w:val="0"/>
          <w:sz w:val="22"/>
          <w:u w:val="none"/>
        </w:rPr>
        <w:t>Daño moral — co-actor Kumazawa</w:t>
      </w:r>
      <w:r>
        <w:rPr>
          <w:rFonts w:ascii="Arial" w:hAnsi="Arial"/>
          <w:b w:val="0"/>
          <w:i w:val="0"/>
          <w:sz w:val="22"/>
          <w:u w:val="none"/>
        </w:rPr>
        <w:t xml:space="preserve"> ($2.000.000)</w:t>
      </w:r>
      <w:r>
        <w:rPr>
          <w:rFonts w:ascii="Arial" w:hAnsi="Arial"/>
          <w:b w:val="0"/>
          <w:i w:val="0"/>
          <w:sz w:val="22"/>
          <w:u w:val="none"/>
        </w:rPr>
        <w:t>: La suma de $2.000.000 es desproporcionada para el cuadro lesional descripto (contusiones, escoriaciones y hematomas) en ausencia de fracturas documentadas, cirugías o internaciones prolongadas. El daño moral debe ser efectivamente probado y su quantum debe guardar razonable proporción con la entidad objetiva de las lesiones. Se impugna por excesivo.</w:t>
      </w:r>
    </w:p>
    <w:p>
      <w:pPr>
        <w:spacing w:before="80" w:after="80"/>
        <w:ind w:left="283"/>
        <w:jc w:val="both"/>
      </w:pPr>
      <w:r>
        <w:rPr>
          <w:rFonts w:ascii="Arial" w:hAnsi="Arial"/>
          <w:b/>
          <w:i w:val="0"/>
          <w:sz w:val="22"/>
          <w:u w:val="none"/>
        </w:rPr>
        <w:t>Gastos terapéuticos y tratamiento psicológico — co-actor Kumazawa</w:t>
      </w:r>
      <w:r>
        <w:rPr>
          <w:rFonts w:ascii="Arial" w:hAnsi="Arial"/>
          <w:b w:val="0"/>
          <w:i w:val="0"/>
          <w:sz w:val="22"/>
          <w:u w:val="none"/>
        </w:rPr>
        <w:t xml:space="preserve"> ($500.000)</w:t>
      </w:r>
      <w:r>
        <w:rPr>
          <w:rFonts w:ascii="Arial" w:hAnsi="Arial"/>
          <w:b w:val="0"/>
          <w:i w:val="0"/>
          <w:sz w:val="22"/>
          <w:u w:val="none"/>
        </w:rPr>
        <w:t>: La suma de $500.000 en concepto de gastos terapéuticos y tratamiento psicológico no está respaldada por comprobante alguno ni por una prescripción médica que cuantifique el tratamiento necesario. Los gastos deben ser debidamente acreditados. Se impugna por falta de fundamento.</w:t>
      </w:r>
    </w:p>
    <w:p>
      <w:pPr>
        <w:spacing w:before="80" w:after="80"/>
        <w:ind w:left="283"/>
        <w:jc w:val="both"/>
      </w:pPr>
      <w:r>
        <w:rPr>
          <w:rFonts w:ascii="Arial" w:hAnsi="Arial"/>
          <w:b/>
          <w:i w:val="0"/>
          <w:sz w:val="22"/>
          <w:u w:val="none"/>
        </w:rPr>
        <w:t>Incapacidad psicofísica y daño estético — co-actor Gavilán</w:t>
      </w:r>
      <w:r>
        <w:rPr>
          <w:rFonts w:ascii="Arial" w:hAnsi="Arial"/>
          <w:b w:val="0"/>
          <w:i w:val="0"/>
          <w:sz w:val="22"/>
          <w:u w:val="none"/>
        </w:rPr>
        <w:t xml:space="preserve"> ($2.000.000)</w:t>
      </w:r>
      <w:r>
        <w:rPr>
          <w:rFonts w:ascii="Arial" w:hAnsi="Arial"/>
          <w:b w:val="0"/>
          <w:i w:val="0"/>
          <w:sz w:val="22"/>
          <w:u w:val="none"/>
        </w:rPr>
        <w:t>: Ídem a lo señalado respecto del co-actor Kumazawa. Las lesiones descriptas son idénticas para ambos actores, lo que sugiere el uso de una plantilla genérica. Sin porcentaje de incapacidad determinado, el monto de $2.000.000 carece de sustento técnico. Se impugna el monto por excesivo y especulativo, reservándose para la etapa pericial.</w:t>
      </w:r>
    </w:p>
    <w:p>
      <w:pPr>
        <w:spacing w:before="80" w:after="80"/>
        <w:ind w:left="283"/>
        <w:jc w:val="both"/>
      </w:pPr>
      <w:r>
        <w:rPr>
          <w:rFonts w:ascii="Arial" w:hAnsi="Arial"/>
          <w:b/>
          <w:i w:val="0"/>
          <w:sz w:val="22"/>
          <w:u w:val="none"/>
        </w:rPr>
        <w:t>Daño moral — co-actor Gavilán</w:t>
      </w:r>
      <w:r>
        <w:rPr>
          <w:rFonts w:ascii="Arial" w:hAnsi="Arial"/>
          <w:b w:val="0"/>
          <w:i w:val="0"/>
          <w:sz w:val="22"/>
          <w:u w:val="none"/>
        </w:rPr>
        <w:t xml:space="preserve"> ($1.000.000)</w:t>
      </w:r>
      <w:r>
        <w:rPr>
          <w:rFonts w:ascii="Arial" w:hAnsi="Arial"/>
          <w:b w:val="0"/>
          <w:i w:val="0"/>
          <w:sz w:val="22"/>
          <w:u w:val="none"/>
        </w:rPr>
        <w:t>: La suma de $1.000.000 es desproporcionada para el cuadro lesional descripto. Se señala además que el daño moral no puede presumirse en abstracto ni establecerse en proporción fija con el rubro de incapacidad: debe ser individualmente probado para cada actor. Se impugna por excesivo.</w:t>
      </w:r>
    </w:p>
    <w:p>
      <w:pPr>
        <w:spacing w:before="80" w:after="80"/>
        <w:ind w:left="283"/>
        <w:jc w:val="both"/>
      </w:pPr>
      <w:r>
        <w:rPr>
          <w:rFonts w:ascii="Arial" w:hAnsi="Arial"/>
          <w:b/>
          <w:i w:val="0"/>
          <w:sz w:val="22"/>
          <w:u w:val="none"/>
        </w:rPr>
        <w:t>Gastos terapéuticos y tratamiento psicológico — co-actor Gavilán</w:t>
      </w:r>
      <w:r>
        <w:rPr>
          <w:rFonts w:ascii="Arial" w:hAnsi="Arial"/>
          <w:b w:val="0"/>
          <w:i w:val="0"/>
          <w:sz w:val="22"/>
          <w:u w:val="none"/>
        </w:rPr>
        <w:t xml:space="preserve"> ($500.000)</w:t>
      </w:r>
      <w:r>
        <w:rPr>
          <w:rFonts w:ascii="Arial" w:hAnsi="Arial"/>
          <w:b w:val="0"/>
          <w:i w:val="0"/>
          <w:sz w:val="22"/>
          <w:u w:val="none"/>
        </w:rPr>
        <w:t>: La suma de $500.000 en concepto de gastos terapéuticos no está respaldada por comprobante alguno. Se impugna por falta de fundamento y por excesiva.</w:t>
      </w:r>
    </w:p>
    <w:p>
      <w:pPr>
        <w:spacing w:before="200" w:after="80"/>
        <w:jc w:val="both"/>
      </w:pPr>
      <w:r>
        <w:rPr>
          <w:rFonts w:ascii="Arial" w:hAnsi="Arial"/>
          <w:b/>
          <w:i w:val="0"/>
          <w:sz w:val="22"/>
          <w:u w:val="single"/>
        </w:rPr>
        <w:t>XIII.</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Poder general para juicios otorgado a favor del letrado interviniente</w:t>
      </w:r>
    </w:p>
    <w:p>
      <w:pPr>
        <w:spacing w:before="0" w:after="60"/>
        <w:ind w:left="283"/>
        <w:jc w:val="both"/>
      </w:pPr>
      <w:r>
        <w:rPr>
          <w:rFonts w:ascii="Arial" w:hAnsi="Arial"/>
          <w:b w:val="0"/>
          <w:i w:val="0"/>
          <w:sz w:val="22"/>
          <w:u w:val="none"/>
        </w:rPr>
        <w:t>Póliza N° 643651 emitida por Libra Compañía Argentina de Seguros S.A. para el vehículo Fiat Fiorino dominio KLR774, asegurado Olmedo González Marcial</w:t>
      </w:r>
    </w:p>
    <w:p>
      <w:pPr>
        <w:spacing w:before="0" w:after="60"/>
        <w:ind w:left="283"/>
        <w:jc w:val="both"/>
      </w:pPr>
      <w:r>
        <w:rPr>
          <w:rFonts w:ascii="Arial" w:hAnsi="Arial"/>
          <w:b w:val="0"/>
          <w:i w:val="0"/>
          <w:sz w:val="22"/>
          <w:u w:val="none"/>
        </w:rPr>
        <w:t>Expediente de siniestros de Libra Compañía Argentina de Seguros S.A. correspondiente al siniestro de autos</w:t>
      </w:r>
    </w:p>
    <w:p>
      <w:pPr>
        <w:spacing w:before="0" w:after="60"/>
        <w:ind w:left="283"/>
        <w:jc w:val="both"/>
      </w:pPr>
      <w:r>
        <w:rPr>
          <w:rFonts w:ascii="Arial" w:hAnsi="Arial"/>
          <w:b w:val="0"/>
          <w:i w:val="0"/>
          <w:sz w:val="22"/>
          <w:u w:val="none"/>
        </w:rPr>
        <w:t>Acta de mediación prejudicial obligatoria</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DIRECCIÓN NACIONAL DEL REGISTRO DE LA PROPIEDAD AUTOMOTOR (DNRPA): que informe la titularidad dominial del automotor Fiat Fiorino dominio KLR774 a la fecha del presunto siniestro (24/10/2023) y en forma histórica</w:t>
      </w:r>
    </w:p>
    <w:p>
      <w:pPr>
        <w:spacing w:before="0" w:after="60"/>
        <w:ind w:left="283"/>
        <w:jc w:val="both"/>
      </w:pPr>
      <w:r>
        <w:rPr>
          <w:rFonts w:ascii="Arial" w:hAnsi="Arial"/>
          <w:b w:val="0"/>
          <w:i w:val="0"/>
          <w:sz w:val="22"/>
          <w:u w:val="none"/>
        </w:rPr>
        <w:t>A la DIRECCIÓN NACIONAL DEL REGISTRO DE LA PROPIEDAD AUTOMOTOR (DNRPA): que informe la titularidad dominial del automotor Fiat Fiorino dominio IAJ773 a la fecha del presunto siniestro</w:t>
      </w:r>
    </w:p>
    <w:p>
      <w:pPr>
        <w:spacing w:before="0" w:after="60"/>
        <w:ind w:left="283"/>
        <w:jc w:val="both"/>
      </w:pPr>
      <w:r>
        <w:rPr>
          <w:rFonts w:ascii="Arial" w:hAnsi="Arial"/>
          <w:b w:val="0"/>
          <w:i w:val="0"/>
          <w:sz w:val="22"/>
          <w:u w:val="none"/>
        </w:rPr>
        <w:t>Al HOSPITAL HÉROES DE MALVINAS: que informe si los co-actores Kumazawa Gustavo Gabriel (DNI 26.734.652) y Gavilán Guillermo Noel (DNI 39.337.010) fueron atendidos en ese establecimiento con motivo del presunto accidente del 24/10/2023, y en su caso remita copia de las historias clínicas y/o informes médicos de guardia</w:t>
      </w:r>
    </w:p>
    <w:p>
      <w:pPr>
        <w:spacing w:before="0" w:after="60"/>
        <w:ind w:left="283"/>
        <w:jc w:val="both"/>
      </w:pPr>
      <w:r>
        <w:rPr>
          <w:rFonts w:ascii="Arial" w:hAnsi="Arial"/>
          <w:b w:val="0"/>
          <w:i w:val="0"/>
          <w:sz w:val="22"/>
          <w:u w:val="none"/>
        </w:rPr>
        <w:t>A la UNIDAD FUNCIONAL DE INSTRUCCIÓN (UFI) de Mariano Acosta: que informe si existe actuación penal labrada caratulada 'Lesiones Culposas' con motivo del presunto accidente del 24/10/2023 en la Autopista Camino del Buen Ayre, y en su caso remita ad effectum videndi et probandi copia certificada de las mismas</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accidentológica/mecánica: se solicita que el perito se expida sobre la mecánica del accidente, calidad de embistente/embestido de cada automotor, velocidades de circulación, lugar de impacto, daños en ambos rodados y todo otro punto que resulte de interés para la litis</w:t>
      </w:r>
    </w:p>
    <w:p>
      <w:pPr>
        <w:spacing w:before="0" w:after="60"/>
        <w:ind w:left="283"/>
        <w:jc w:val="both"/>
      </w:pPr>
      <w:r>
        <w:rPr>
          <w:rFonts w:ascii="Arial" w:hAnsi="Arial"/>
          <w:b w:val="0"/>
          <w:i w:val="0"/>
          <w:sz w:val="22"/>
          <w:u w:val="none"/>
        </w:rPr>
        <w:t>Pericial médica: para que evalúe el estado de salud actual de los co-actores, las lesiones sufridas como consecuencia del presunto accidente, el porcentaje de incapacidad física y su relación causal con el hecho</w:t>
      </w:r>
    </w:p>
    <w:p>
      <w:pPr>
        <w:spacing w:before="0" w:after="60"/>
        <w:ind w:left="283"/>
        <w:jc w:val="both"/>
      </w:pPr>
      <w:r>
        <w:rPr>
          <w:rFonts w:ascii="Arial" w:hAnsi="Arial"/>
          <w:b w:val="0"/>
          <w:i w:val="0"/>
          <w:sz w:val="22"/>
          <w:u w:val="none"/>
        </w:rPr>
        <w:t>Pericial psicológica: para que evalúe el estado psíquico de los co-actores, los eventuales trastornos psicológicos derivados del hecho y el porcentaje de incapacidad psíquica</w:t>
      </w:r>
    </w:p>
    <w:p>
      <w:pPr>
        <w:spacing w:before="120" w:after="60"/>
        <w:jc w:val="both"/>
      </w:pPr>
      <w:r>
        <w:rPr>
          <w:rFonts w:ascii="Arial" w:hAnsi="Arial"/>
          <w:b/>
          <w:i w:val="0"/>
          <w:sz w:val="22"/>
          <w:u w:val="single"/>
        </w:rPr>
        <w:t>E) PRUEBA CONFESIONAL</w:t>
      </w:r>
    </w:p>
    <w:p>
      <w:pPr>
        <w:spacing w:before="0" w:after="60"/>
        <w:ind w:left="283"/>
        <w:jc w:val="both"/>
      </w:pPr>
      <w:r>
        <w:rPr>
          <w:rFonts w:ascii="Arial" w:hAnsi="Arial"/>
          <w:b w:val="0"/>
          <w:i w:val="0"/>
          <w:sz w:val="22"/>
          <w:u w:val="none"/>
        </w:rPr>
        <w:t>Absolución de posiciones del co-actor Kumazawa Gustavo Gabriel, a tenor del pliego que se adjuntará oportunamente</w:t>
      </w:r>
    </w:p>
    <w:p>
      <w:pPr>
        <w:spacing w:before="0" w:after="60"/>
        <w:ind w:left="283"/>
        <w:jc w:val="both"/>
      </w:pPr>
      <w:r>
        <w:rPr>
          <w:rFonts w:ascii="Arial" w:hAnsi="Arial"/>
          <w:b w:val="0"/>
          <w:i w:val="0"/>
          <w:sz w:val="22"/>
          <w:u w:val="none"/>
        </w:rPr>
        <w:t>Absolución de posiciones del co-actor Gavilán Guillermo Noel, a tenor del pliego que se adjuntará oportunamente</w:t>
      </w:r>
    </w:p>
    <w:p>
      <w:pPr>
        <w:spacing w:before="200" w:after="80"/>
        <w:jc w:val="both"/>
      </w:pPr>
      <w:r>
        <w:rPr>
          <w:rFonts w:ascii="Arial" w:hAnsi="Arial"/>
          <w:b/>
          <w:i w:val="0"/>
          <w:sz w:val="22"/>
          <w:u w:val="single"/>
        </w:rPr>
        <w:t>XIV.</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XV.</w:t>
        <w:tab/>
        <w:t>PETITORIO</w:t>
      </w:r>
    </w:p>
    <w:p>
      <w:pPr>
        <w:spacing w:before="0" w:after="120"/>
        <w:jc w:val="both"/>
      </w:pPr>
      <w:r>
        <w:rPr>
          <w:rFonts w:ascii="Arial" w:hAnsi="Arial"/>
          <w:b w:val="0"/>
          <w:i w:val="0"/>
          <w:sz w:val="22"/>
          <w:u w:val="none"/>
        </w:rPr>
        <w:t>Por todo lo expuesto, de V.S. solicito:</w:t>
        <w:br/>
        <w:t>a) Se me tenga por presentada en el carácter de citada en garantía, por parte en las presentes actuaciones, y por constituidos los domicilios procesal y electrónico denunciados.</w:t>
        <w:br/>
        <w:t>b) Se tenga por contestada la demanda en tiempo y forma, con la negativa general y particular de los hechos y el derecho invocados por los actores.</w:t>
        <w:br/>
        <w:t>c) Se tenga presente la impugnación de toda la documental acompañada por los actores.</w:t>
        <w:br/>
        <w:t>d) Se tenga presente la excepción de prescripción con la reserva de ampliarla una vez confirmadas las fechas del trámite administrativo y mediación prejudicial.</w:t>
        <w:br/>
        <w:t>e) Oportunamente, se rechace la demanda en todas sus partes, con expresa imposición de costas a los actores.</w:t>
        <w:br/>
        <w:t>f) En el improbable supuesto de que se hiciera lugar a la demanda, se tenga presente el límite de cobertura pactado en la póliza N° 643651, limitándose la condena a mi representada a dicho importe, conforme lo establece el art. 118 de la Ley 17.418 y la doctrina reiterada de la Corte Suprema de Justicia de la Nación.</w:t>
        <w:br/>
        <w:t>g) Se tenga por ofrecida la prueba indicada precedentemente.</w:t>
        <w:br/>
        <w:t>h) Se tenga presente la defensa en juicio del asegurado y la consecuente responsabilidad de Olmedo González Marcial por los honorarios de su letrado particular en caso de que haya asumido su propia defensa sin noticia a mi representada.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