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 A COMPLETAR] (T__ F__ CPACF, CUIT [CUIT — A COMPLETAR], Monotributista), letrada apoderada, mail: [MAIL — A COMPLETAR], constituyendo domicilio legal en la calle Olazabal 1515, piso 5 of. 505, CABA, y domicilio electrónico [CUIT — A COMPLETAR], en los autos caratulados: </w:t>
      </w:r>
      <w:r>
        <w:rPr>
          <w:rFonts w:ascii="Arial" w:hAnsi="Arial"/>
          <w:b/>
          <w:i w:val="0"/>
          <w:sz w:val="22"/>
          <w:u w:val="none"/>
        </w:rPr>
        <w:t>"ASOCIART S.A. ART C/ ROJAS JUAN CARLOS Y OTRO S/ COBRO DE SUMAS DE DINERO"</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[N° PÓLIZA — A COMPLETAR] que amparaba -entre otros riesgos- por el de responsabilidad civil hacia terceros, al vehículo CHEVROLET CLASSIC TAXI dominio MDP995, a nombre de ROJAS JUAN CARLOS,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CHEVROLET CLASSIC TAXI dominio MDP995, se hallaba asegurado por mi representada, bajo la póliza [N° PÓLIZA — A COMPLETAR],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OPONIBILIDAD DE LAS CLÁUSULAS DE SEGURO</w:t>
      </w:r>
    </w:p>
    <w:p>
      <w:pPr>
        <w:spacing w:before="0" w:after="120"/>
        <w:jc w:val="both"/>
      </w:pPr>
      <w:r>
        <w:rPr>
          <w:rFonts w:ascii="Arial" w:hAnsi="Arial"/>
          <w:b w:val="0"/>
          <w:i w:val="0"/>
          <w:sz w:val="22"/>
          <w:u w:val="none"/>
        </w:rPr>
        <w:t>### OPONIBILIDAD DE LAS CLÁUSULAS DEL CONTRATO DE SEGURO</w:t>
      </w:r>
    </w:p>
    <w:p>
      <w:pPr>
        <w:spacing w:before="0" w:after="120"/>
        <w:jc w:val="both"/>
      </w:pPr>
      <w:r>
        <w:rPr>
          <w:rFonts w:ascii="Arial" w:hAnsi="Arial"/>
          <w:b w:val="0"/>
          <w:i w:val="0"/>
          <w:sz w:val="22"/>
          <w:u w:val="none"/>
        </w:rPr>
        <w:t>La póliza de seguro es un contrato indivisible. Sus cláusulas — condiciones generales, particulares y especiales — forman un todo unitario que no puede ser fragmentado para beneficiar selectivamente a una parte. La ART actora que ejercita la acción de repetición del art. 39 inc. 5 de la Ley 24.557 se subroga en los derechos del demandado Rojas frente a su asegurador; consecuentemente, no puede tener más derechos que el propio asegurado frente a su aseguradora, y la condena a mi representada queda limitada al contenido del contrato de seguro. El límite de la obligación de la aseguradora es siempre "en la medida del seguro" (art. 118 Ley 17.418).</w:t>
      </w:r>
    </w:p>
    <w:p>
      <w:pPr>
        <w:spacing w:before="0" w:after="120"/>
        <w:jc w:val="both"/>
      </w:pPr>
      <w:r>
        <w:rPr>
          <w:rFonts w:ascii="Arial" w:hAnsi="Arial"/>
          <w:b w:val="0"/>
          <w:i w:val="0"/>
          <w:sz w:val="22"/>
          <w:u w:val="none"/>
        </w:rPr>
        <w:t>Art. 118 Ley 17.418: "El damnificado puede citar en garantía al asegurador hasta que se reciba la causa a prueba. En tal caso debe interponer la demanda ante el juez del lugar del hecho o del domicilio del asegurador. El asegurador puede hacer valer todas las defensas que tenga contra el asegurado. La sentencia que se dicte hará cosa juzgada respecto del asegurador y será ejecutable contra él en la medida del seguro."</w:t>
      </w:r>
    </w:p>
    <w:p>
      <w:pPr>
        <w:spacing w:before="0" w:after="120"/>
        <w:jc w:val="both"/>
      </w:pPr>
      <w:r>
        <w:rPr>
          <w:rFonts w:ascii="Arial" w:hAnsi="Arial"/>
          <w:b w:val="0"/>
          <w:i w:val="0"/>
          <w:sz w:val="22"/>
          <w:u w:val="none"/>
        </w:rPr>
        <w:t>Esta limitación no es una cláusula abusiva ni una restricción de derechos; es la esencia misma del contrato de seguro y la condición bajo la cual la aseguradora prestó su consentimiento (CCyCN arts. 957, 959, 1021 y 1022). Pretender que la aseguradora responda más allá del límite contratado importaría violar el principio de autonomía de la voluntad (art. 957 CCyCN), el derecho de propiedad (CN art. 17) y el principio de razonabilidad (CN art. 28).</w:t>
      </w:r>
    </w:p>
    <w:p>
      <w:pPr>
        <w:spacing w:before="0" w:after="120"/>
        <w:jc w:val="both"/>
      </w:pPr>
      <w:r>
        <w:rPr>
          <w:rFonts w:ascii="Arial" w:hAnsi="Arial"/>
          <w:b w:val="0"/>
          <w:i w:val="0"/>
          <w:sz w:val="22"/>
          <w:u w:val="none"/>
        </w:rPr>
        <w:t>Jurisprudencia de la Corte Suprema de Justicia de la Nación:</w:t>
      </w:r>
    </w:p>
    <w:p>
      <w:pPr>
        <w:spacing w:before="0" w:after="120"/>
        <w:jc w:val="both"/>
      </w:pPr>
      <w:r>
        <w:rPr>
          <w:rFonts w:ascii="Arial" w:hAnsi="Arial"/>
          <w:b w:val="0"/>
          <w:i w:val="0"/>
          <w:sz w:val="22"/>
          <w:u w:val="none"/>
        </w:rPr>
        <w:t>La CSJN ha establecido en forma reiterada y pacífica que las cláusulas del contrato de seguro son oponibles:</w:t>
      </w:r>
    </w:p>
    <w:p>
      <w:pPr>
        <w:spacing w:before="0" w:after="120"/>
        <w:jc w:val="both"/>
      </w:pPr>
      <w:r>
        <w:rPr>
          <w:rFonts w:ascii="Arial" w:hAnsi="Arial"/>
          <w:b w:val="0"/>
          <w:i w:val="0"/>
          <w:sz w:val="22"/>
          <w:u w:val="none"/>
        </w:rPr>
        <w:t>- "Flores c/ Giménez" — CSJ 678/2013 (49-F)/CS1, sentencia del 6 de junio de 2017: la Corte reafirmó que la condena a la aseguradora no puede exceder el límite de cobertura pactado en la póliza. El seguro obligatorio no convierte a la aseguradora en garante ilimitado de cualquier condena.</w:t>
      </w:r>
    </w:p>
    <w:p>
      <w:pPr>
        <w:spacing w:before="0" w:after="120"/>
        <w:jc w:val="both"/>
      </w:pPr>
      <w:r>
        <w:rPr>
          <w:rFonts w:ascii="Arial" w:hAnsi="Arial"/>
          <w:b w:val="0"/>
          <w:i w:val="0"/>
          <w:sz w:val="22"/>
          <w:u w:val="none"/>
        </w:rPr>
        <w:t>- "Buffoni c/ Castro" — Fallos: 337:329 (2014): la Corte confirmó que la franquicia pactada en el contrato de seguro es oponible y que la aseguradora no puede ser condenada más allá del límite convenido.</w:t>
      </w:r>
    </w:p>
    <w:p>
      <w:pPr>
        <w:spacing w:before="0" w:after="120"/>
        <w:jc w:val="both"/>
      </w:pPr>
      <w:r>
        <w:rPr>
          <w:rFonts w:ascii="Arial" w:hAnsi="Arial"/>
          <w:b w:val="0"/>
          <w:i w:val="0"/>
          <w:sz w:val="22"/>
          <w:u w:val="none"/>
        </w:rPr>
        <w:t>- "Álvarez c/ Moscatelli" — CIV 1728/2017/CS1, sentencia del 14 de diciembre de 2023: ratificación de la doctrina de oponibilidad de los límites contractuales de cobertura.</w:t>
      </w:r>
    </w:p>
    <w:p>
      <w:pPr>
        <w:spacing w:before="0" w:after="120"/>
        <w:jc w:val="both"/>
      </w:pPr>
      <w:r>
        <w:rPr>
          <w:rFonts w:ascii="Arial" w:hAnsi="Arial"/>
          <w:b w:val="0"/>
          <w:i w:val="0"/>
          <w:sz w:val="22"/>
          <w:u w:val="none"/>
        </w:rPr>
        <w:t>- "Aimar c/ Molina" — Expte. 31171/2012, sentencia del 24 de abril de 2018: la sentencia de condena a la aseguradora debe circunscribirse a los términos y límites del contrato de seguro.</w:t>
      </w:r>
    </w:p>
    <w:p>
      <w:pPr>
        <w:spacing w:before="0" w:after="120"/>
        <w:jc w:val="both"/>
      </w:pPr>
      <w:r>
        <w:rPr>
          <w:rFonts w:ascii="Arial" w:hAnsi="Arial"/>
          <w:b w:val="0"/>
          <w:i w:val="0"/>
          <w:sz w:val="22"/>
          <w:u w:val="none"/>
        </w:rPr>
        <w:t>Marco normativo aplicable:</w:t>
      </w:r>
    </w:p>
    <w:p>
      <w:pPr>
        <w:spacing w:before="0" w:after="120"/>
        <w:jc w:val="both"/>
      </w:pPr>
      <w:r>
        <w:rPr>
          <w:rFonts w:ascii="Arial" w:hAnsi="Arial"/>
          <w:b w:val="0"/>
          <w:i w:val="0"/>
          <w:sz w:val="22"/>
          <w:u w:val="none"/>
        </w:rPr>
        <w:t>- Ley 17.418: arts. 109-120 y art. 118 (límite "en la medida del seguro").</w:t>
        <w:br/>
        <w:t>- Ley 20.091: arts. 1, 23-26, 64 y 67 (aprobación de condiciones por la SSN).</w:t>
        <w:br/>
        <w:t>- Ley 24.449: art. 68 (seguro obligatorio — piso mínimo, no cobertura ilimitada).</w:t>
        <w:br/>
        <w:t>- CCyCN: arts. 957, 959, 1021 y 1022.</w:t>
        <w:br/>
        <w:t>- Constitución Nacional: arts. 17 y 28.</w:t>
      </w:r>
    </w:p>
    <w:p>
      <w:pPr>
        <w:spacing w:before="0" w:after="120"/>
        <w:jc w:val="both"/>
      </w:pPr>
      <w:r>
        <w:rPr>
          <w:rFonts w:ascii="Arial" w:hAnsi="Arial"/>
          <w:b w:val="0"/>
          <w:i w:val="0"/>
          <w:sz w:val="22"/>
          <w:u w:val="none"/>
        </w:rPr>
        <w:t>Conclusión:</w:t>
      </w:r>
    </w:p>
    <w:p>
      <w:pPr>
        <w:spacing w:before="0" w:after="120"/>
        <w:jc w:val="both"/>
      </w:pPr>
      <w:r>
        <w:rPr>
          <w:rFonts w:ascii="Arial" w:hAnsi="Arial"/>
          <w:b w:val="0"/>
          <w:i w:val="0"/>
          <w:sz w:val="22"/>
          <w:u w:val="none"/>
        </w:rPr>
        <w:t>Por todo lo expuesto, solicito a V.S. que, en caso de condenar a mi representada, la sentencia se haga extensiva a LIBRA COMPAÑÍA ARGENTINA DE SEGUROS S.A. sólo hasta el límite de cobertura pactado en la póliza, conforme lo establece el art. 118 de la Ley 17.418 y la doctrina reiterada de la Corte Suprema de Justicia de la Nación.</w:t>
      </w:r>
    </w:p>
    <w:p>
      <w:pPr>
        <w:spacing w:before="200" w:after="80"/>
        <w:jc w:val="both"/>
      </w:pPr>
      <w:r>
        <w:rPr>
          <w:rFonts w:ascii="Arial" w:hAnsi="Arial"/>
          <w:b/>
          <w:i w:val="0"/>
          <w:sz w:val="22"/>
          <w:u w:val="single"/>
        </w:rPr>
        <w:t>VI.</w:t>
        <w:tab/>
        <w:t>DEFENSA EN JUICIO DEL ASEGURADO</w:t>
      </w:r>
    </w:p>
    <w:p>
      <w:pPr>
        <w:spacing w:before="0" w:after="120"/>
        <w:jc w:val="both"/>
      </w:pPr>
      <w:r>
        <w:rPr>
          <w:rFonts w:ascii="Arial" w:hAnsi="Arial"/>
          <w:b w:val="0"/>
          <w:i w:val="0"/>
          <w:sz w:val="22"/>
          <w:u w:val="none"/>
        </w:rPr>
        <w:t>### DEFENSA EN JUICIO DEL ASEGURADO</w:t>
        <w:br/>
        <w:br/>
        <w:t>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pPr>
        <w:spacing w:before="200" w:after="80"/>
        <w:jc w:val="both"/>
      </w:pPr>
      <w:r>
        <w:rPr>
          <w:rFonts w:ascii="Arial" w:hAnsi="Arial"/>
          <w:b/>
          <w:i w:val="0"/>
          <w:sz w:val="22"/>
          <w:u w:val="single"/>
        </w:rPr>
        <w:t>VII.</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VIII.</w:t>
        <w:tab/>
        <w:t>DESCONOCE DOCUMENTAL</w:t>
      </w:r>
    </w:p>
    <w:p>
      <w:pPr>
        <w:spacing w:before="0" w:after="120"/>
        <w:jc w:val="both"/>
      </w:pPr>
      <w:r>
        <w:rPr>
          <w:rFonts w:ascii="Arial" w:hAnsi="Arial"/>
          <w:b w:val="0"/>
          <w:i w:val="0"/>
          <w:sz w:val="22"/>
          <w:u w:val="none"/>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En particular, niego y desconozco:</w:t>
      </w:r>
    </w:p>
    <w:p>
      <w:pPr>
        <w:spacing w:before="0" w:after="60"/>
        <w:ind w:left="283"/>
        <w:jc w:val="both"/>
      </w:pPr>
      <w:r>
        <w:rPr>
          <w:rFonts w:ascii="Arial" w:hAnsi="Arial"/>
          <w:b w:val="0"/>
          <w:i w:val="0"/>
          <w:sz w:val="22"/>
          <w:u w:val="none"/>
        </w:rPr>
        <w:t>• Copia de Poder General Judicial del Dr. Francisco Eloy Sánchez</w:t>
      </w:r>
    </w:p>
    <w:p>
      <w:pPr>
        <w:spacing w:before="0" w:after="60"/>
        <w:ind w:left="283"/>
        <w:jc w:val="both"/>
      </w:pPr>
      <w:r>
        <w:rPr>
          <w:rFonts w:ascii="Arial" w:hAnsi="Arial"/>
          <w:b w:val="0"/>
          <w:i w:val="0"/>
          <w:sz w:val="22"/>
          <w:u w:val="none"/>
        </w:rPr>
        <w:t>• Reporte con detalle de los gastos y prestaciones brindadas por el siniestro (Reporte de Gastos, siniestro N° 0-586544)</w:t>
      </w:r>
    </w:p>
    <w:p>
      <w:pPr>
        <w:spacing w:before="0" w:after="60"/>
        <w:ind w:left="283"/>
        <w:jc w:val="both"/>
      </w:pPr>
      <w:r>
        <w:rPr>
          <w:rFonts w:ascii="Arial" w:hAnsi="Arial"/>
          <w:b w:val="0"/>
          <w:i w:val="0"/>
          <w:sz w:val="22"/>
          <w:u w:val="none"/>
        </w:rPr>
        <w:t>• Comprobantes de atención médica / alta médica</w:t>
      </w:r>
    </w:p>
    <w:p>
      <w:pPr>
        <w:spacing w:before="0" w:after="60"/>
        <w:ind w:left="283"/>
        <w:jc w:val="both"/>
      </w:pPr>
      <w:r>
        <w:rPr>
          <w:rFonts w:ascii="Arial" w:hAnsi="Arial"/>
          <w:b w:val="0"/>
          <w:i w:val="0"/>
          <w:sz w:val="22"/>
          <w:u w:val="none"/>
        </w:rPr>
        <w:t>• Pericia médica producida en el expediente laboral Expte. 45378/2024</w:t>
      </w:r>
    </w:p>
    <w:p>
      <w:pPr>
        <w:spacing w:before="0" w:after="60"/>
        <w:ind w:left="283"/>
        <w:jc w:val="both"/>
      </w:pPr>
      <w:r>
        <w:rPr>
          <w:rFonts w:ascii="Arial" w:hAnsi="Arial"/>
          <w:b w:val="0"/>
          <w:i w:val="0"/>
          <w:sz w:val="22"/>
          <w:u w:val="none"/>
        </w:rPr>
        <w:t>• Acuerdo y homologación judicial referida a prestación e indemnización por incapacidad laboral (Expte. 45378/2024)</w:t>
      </w:r>
    </w:p>
    <w:p>
      <w:pPr>
        <w:spacing w:before="0" w:after="60"/>
        <w:ind w:left="283"/>
        <w:jc w:val="both"/>
      </w:pPr>
      <w:r>
        <w:rPr>
          <w:rFonts w:ascii="Arial" w:hAnsi="Arial"/>
          <w:b w:val="0"/>
          <w:i w:val="0"/>
          <w:sz w:val="22"/>
          <w:u w:val="none"/>
        </w:rPr>
        <w:t>• Constancias de pago, escrito y comprobante de transferencia</w:t>
      </w:r>
    </w:p>
    <w:p>
      <w:pPr>
        <w:spacing w:before="200" w:after="80"/>
        <w:jc w:val="both"/>
      </w:pPr>
      <w:r>
        <w:rPr>
          <w:rFonts w:ascii="Arial" w:hAnsi="Arial"/>
          <w:b/>
          <w:i w:val="0"/>
          <w:sz w:val="22"/>
          <w:u w:val="single"/>
        </w:rPr>
        <w:t>IX.</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el 8 de enero de 2024 aproximadamente a las 17.20 horas el trabajador Cabito Guido Hernán circulaba en motocicleta Honda por la Av. General Paz sentido Riachuelo.</w:t>
      </w:r>
    </w:p>
    <w:p>
      <w:pPr>
        <w:spacing w:before="0" w:after="80"/>
        <w:jc w:val="both"/>
      </w:pPr>
      <w:r>
        <w:rPr>
          <w:rFonts w:ascii="Arial" w:hAnsi="Arial"/>
          <w:b w:val="0"/>
          <w:i w:val="0"/>
          <w:sz w:val="22"/>
          <w:u w:val="none"/>
        </w:rPr>
        <w:t>2. Que a la altura de Nazarre, el taxi Chevrolet Classic dominio MDP 995 conducido por el demandado Rojas embistió a la motocicleta de Cabito al realizar una maniobra de giro brusco hacia su derecha para tomar la salida hacia Nazarre.</w:t>
      </w:r>
    </w:p>
    <w:p>
      <w:pPr>
        <w:spacing w:before="0" w:after="80"/>
        <w:jc w:val="both"/>
      </w:pPr>
      <w:r>
        <w:rPr>
          <w:rFonts w:ascii="Arial" w:hAnsi="Arial"/>
          <w:b w:val="0"/>
          <w:i w:val="0"/>
          <w:sz w:val="22"/>
          <w:u w:val="none"/>
        </w:rPr>
        <w:t>3. Que el trabajador Cabito circulaba reglamentariamente por el carril derecho de la Av. General Paz cuando fue violentamente embestido por el vehículo del demandado que circulaba a la izquierda de la motocicleta.</w:t>
      </w:r>
    </w:p>
    <w:p>
      <w:pPr>
        <w:spacing w:before="0" w:after="80"/>
        <w:jc w:val="both"/>
      </w:pPr>
      <w:r>
        <w:rPr>
          <w:rFonts w:ascii="Arial" w:hAnsi="Arial"/>
          <w:b w:val="0"/>
          <w:i w:val="0"/>
          <w:sz w:val="22"/>
          <w:u w:val="none"/>
        </w:rPr>
        <w:t>4. Que el Chevrolet Classic embistió con su lateral derecho a Cabito y a la motocicleta, provocando que el trabajador saliera despedido y cayera sobre la calzada.</w:t>
      </w:r>
    </w:p>
    <w:p>
      <w:pPr>
        <w:spacing w:before="0" w:after="80"/>
        <w:jc w:val="both"/>
      </w:pPr>
      <w:r>
        <w:rPr>
          <w:rFonts w:ascii="Arial" w:hAnsi="Arial"/>
          <w:b w:val="0"/>
          <w:i w:val="0"/>
          <w:sz w:val="22"/>
          <w:u w:val="none"/>
        </w:rPr>
        <w:t>5. Que el trabajador Cabito sufrió lesiones en su columna cervical y lumbar y otros daños físicos y psicológicos que le generaron una incapacidad laboral psicofísica del 22% de la total obrera (12% física y 10% psíquica).</w:t>
      </w:r>
    </w:p>
    <w:p>
      <w:pPr>
        <w:spacing w:before="0" w:after="80"/>
        <w:jc w:val="both"/>
      </w:pPr>
      <w:r>
        <w:rPr>
          <w:rFonts w:ascii="Arial" w:hAnsi="Arial"/>
          <w:b w:val="0"/>
          <w:i w:val="0"/>
          <w:sz w:val="22"/>
          <w:u w:val="none"/>
        </w:rPr>
        <w:t>6. Que Asociart abonó al trabajador la suma de $29.000.000 en concepto de prestación dineraria por incapacidad laboral permanente, según acuerdo homologado en el expediente laboral Expte. 45378/2024.</w:t>
      </w:r>
    </w:p>
    <w:p>
      <w:pPr>
        <w:spacing w:before="0" w:after="80"/>
        <w:jc w:val="both"/>
      </w:pPr>
      <w:r>
        <w:rPr>
          <w:rFonts w:ascii="Arial" w:hAnsi="Arial"/>
          <w:b w:val="0"/>
          <w:i w:val="0"/>
          <w:sz w:val="22"/>
          <w:u w:val="none"/>
        </w:rPr>
        <w:t>7. Que Asociart abonó $375.678,22 en prestaciones en especie (atención médica, hospitalización, rehabilitación, farmacia, traslados).</w:t>
      </w:r>
    </w:p>
    <w:p>
      <w:pPr>
        <w:spacing w:before="0" w:after="80"/>
        <w:jc w:val="both"/>
      </w:pPr>
      <w:r>
        <w:rPr>
          <w:rFonts w:ascii="Arial" w:hAnsi="Arial"/>
          <w:b w:val="0"/>
          <w:i w:val="0"/>
          <w:sz w:val="22"/>
          <w:u w:val="none"/>
        </w:rPr>
        <w:t>8. Que Asociart abonó $629.573,08 en concepto de Incapacidad Laboral Temporaria (ILT).</w:t>
      </w:r>
    </w:p>
    <w:p>
      <w:pPr>
        <w:spacing w:before="0" w:after="80"/>
        <w:jc w:val="both"/>
      </w:pPr>
      <w:r>
        <w:rPr>
          <w:rFonts w:ascii="Arial" w:hAnsi="Arial"/>
          <w:b w:val="0"/>
          <w:i w:val="0"/>
          <w:sz w:val="22"/>
          <w:u w:val="none"/>
        </w:rPr>
        <w:t>9. Que el monto total reclamado asciende a $39.792.327,30, con más intereses capitalizados conforme art. 770 inc. b) CCyCN desde la fecha de cada erogación.</w:t>
      </w:r>
    </w:p>
    <w:p>
      <w:pPr>
        <w:spacing w:before="0" w:after="80"/>
        <w:jc w:val="both"/>
      </w:pPr>
      <w:r>
        <w:rPr>
          <w:rFonts w:ascii="Arial" w:hAnsi="Arial"/>
          <w:b w:val="0"/>
          <w:i w:val="0"/>
          <w:sz w:val="22"/>
          <w:u w:val="none"/>
        </w:rPr>
        <w:t>10. Que el demandado Rojas es civilmente responsable por el accidente por ser conductor y guardián del vehículo MDP 995, habiendo realizado una maniobra negligente de giro brusco sin advertir la circulación de la motocicleta.</w:t>
      </w:r>
    </w:p>
    <w:p>
      <w:pPr>
        <w:spacing w:before="0" w:after="80"/>
        <w:jc w:val="both"/>
      </w:pPr>
      <w:r>
        <w:rPr>
          <w:rFonts w:ascii="Arial" w:hAnsi="Arial"/>
          <w:b w:val="0"/>
          <w:i w:val="0"/>
          <w:sz w:val="22"/>
          <w:u w:val="none"/>
        </w:rPr>
        <w:t>11. Que el accidente constituyó un accidente de trabajo in itinere conforme el art. 6 inc. 1 de la LRT, identificado internamente por Asociart con el siniestro N° 0-586544.</w:t>
      </w:r>
    </w:p>
    <w:p>
      <w:pPr>
        <w:spacing w:before="0" w:after="80"/>
        <w:jc w:val="both"/>
      </w:pPr>
      <w:r>
        <w:rPr>
          <w:rFonts w:ascii="Arial" w:hAnsi="Arial"/>
          <w:b w:val="0"/>
          <w:i w:val="0"/>
          <w:sz w:val="22"/>
          <w:u w:val="none"/>
        </w:rPr>
        <w:t>12. Que la ART Asociart tiene acción directa de repetición contra el responsable civil del accidente conforme el art. 39 inc. 5 de la LRT.</w:t>
      </w:r>
    </w:p>
    <w:p>
      <w:pPr>
        <w:spacing w:before="0" w:after="80"/>
        <w:jc w:val="both"/>
      </w:pPr>
      <w:r>
        <w:rPr>
          <w:rFonts w:ascii="Arial" w:hAnsi="Arial"/>
          <w:b w:val="0"/>
          <w:i w:val="0"/>
          <w:sz w:val="22"/>
          <w:u w:val="none"/>
        </w:rPr>
        <w:t>13. Que Edenor S.A. tenía contratado seguro de riesgos del trabajo con Asociart a la fecha del accidente (08/01/2024) y el trabajador Cabito integraba su nómina de empleados.</w:t>
      </w:r>
    </w:p>
    <w:p>
      <w:pPr>
        <w:spacing w:before="0" w:after="80"/>
        <w:jc w:val="both"/>
      </w:pPr>
      <w:r>
        <w:rPr>
          <w:rFonts w:ascii="Arial" w:hAnsi="Arial"/>
          <w:b w:val="0"/>
          <w:i w:val="0"/>
          <w:sz w:val="22"/>
          <w:u w:val="none"/>
        </w:rPr>
        <w:t>14. Que el trabajador Cabito fue atendido en el Hospital Vélez Sarsfield y derivado posteriormente a la Clínica Solis de San Justo y al Centro Médico Asociart de Morón.</w:t>
      </w:r>
    </w:p>
    <w:p>
      <w:pPr>
        <w:spacing w:before="0" w:after="80"/>
        <w:jc w:val="both"/>
      </w:pPr>
      <w:r>
        <w:rPr>
          <w:rFonts w:ascii="Arial" w:hAnsi="Arial"/>
          <w:b w:val="0"/>
          <w:i w:val="0"/>
          <w:sz w:val="22"/>
          <w:u w:val="none"/>
        </w:rPr>
        <w:t>15. Que la causa penal fue labrada con DEN 1128930/MPF 958902 (Sumario 13698/2024) por Lesiones Culposas art. 94 CP, damnificado Cabito, imputado Rojas.</w:t>
      </w:r>
    </w:p>
    <w:p>
      <w:pPr>
        <w:spacing w:before="0" w:after="80"/>
        <w:jc w:val="both"/>
      </w:pPr>
      <w:r>
        <w:rPr>
          <w:rFonts w:ascii="Arial" w:hAnsi="Arial"/>
          <w:b w:val="0"/>
          <w:i w:val="0"/>
          <w:sz w:val="22"/>
          <w:u w:val="none"/>
        </w:rPr>
        <w:t>16. Que el acuerdo homologado en el expediente laboral Expte. 45378/2024 fijó la prestación dineraria del trabajador en $29.000.000 de capital, sobre la base de una incapacidad del 22% determinada por pericia médica.</w:t>
      </w:r>
    </w:p>
    <w:p>
      <w:pPr>
        <w:spacing w:before="0" w:after="80"/>
        <w:jc w:val="both"/>
      </w:pPr>
      <w:r>
        <w:rPr>
          <w:rFonts w:ascii="Arial" w:hAnsi="Arial"/>
          <w:b w:val="0"/>
          <w:i w:val="0"/>
          <w:sz w:val="22"/>
          <w:u w:val="none"/>
        </w:rPr>
        <w:t>17. Que Asociart reclama además el importe de las costas del expediente laboral incluido en los $38.787.076 del rubro 'ILP / Pagos Juicio'.</w:t>
      </w:r>
    </w:p>
    <w:p>
      <w:pPr>
        <w:spacing w:before="0" w:after="80"/>
        <w:jc w:val="both"/>
      </w:pPr>
      <w:r>
        <w:rPr>
          <w:rFonts w:ascii="Arial" w:hAnsi="Arial"/>
          <w:b w:val="0"/>
          <w:i w:val="0"/>
          <w:sz w:val="22"/>
          <w:u w:val="none"/>
        </w:rPr>
        <w:t>18. Que se solicita que al capital de condena se le adicionen intereses a tasa activa desde la fecha de cada erogación hasta el efectivo pago, con capitalización conforme art. 770 inc. b) CCyCN.</w:t>
      </w:r>
    </w:p>
    <w:p>
      <w:pPr>
        <w:spacing w:before="0" w:after="80"/>
        <w:jc w:val="both"/>
      </w:pPr>
      <w:r>
        <w:rPr>
          <w:rFonts w:ascii="Arial" w:hAnsi="Arial"/>
          <w:b w:val="0"/>
          <w:i w:val="0"/>
          <w:sz w:val="22"/>
          <w:u w:val="none"/>
        </w:rPr>
        <w:t>19. Que la mediación prejudicial fue realizada ante la mediadora Ana Lorena Torres (Hab. MJYDH N° 4650), cerrándose sin acuerdo.</w:t>
      </w:r>
    </w:p>
    <w:p>
      <w:pPr>
        <w:spacing w:before="0" w:after="80"/>
        <w:jc w:val="both"/>
      </w:pPr>
      <w:r>
        <w:rPr>
          <w:rFonts w:ascii="Arial" w:hAnsi="Arial"/>
          <w:b w:val="0"/>
          <w:i w:val="0"/>
          <w:sz w:val="22"/>
          <w:u w:val="none"/>
        </w:rPr>
        <w:t>20. Que la responsabilidad de la aseguradora Libra deriva del art. 118 de la Ley 17.418 como aseguradora del vehículo Chevrolet Classic dominio MDP 995.</w:t>
      </w:r>
    </w:p>
    <w:p>
      <w:pPr>
        <w:spacing w:before="0" w:after="80"/>
        <w:jc w:val="both"/>
      </w:pPr>
      <w:r>
        <w:rPr>
          <w:rFonts w:ascii="Arial" w:hAnsi="Arial"/>
          <w:b w:val="0"/>
          <w:i w:val="0"/>
          <w:sz w:val="22"/>
          <w:u w:val="none"/>
        </w:rPr>
        <w:t>21. Que el monto abonado por Asociart en el expediente laboral ($29.000.000 de capital más costas) constituye el objeto principal de la repetición del art. 39 inc. 5 LRT.</w:t>
      </w:r>
    </w:p>
    <w:p>
      <w:pPr>
        <w:spacing w:before="0" w:after="80"/>
        <w:jc w:val="both"/>
      </w:pPr>
      <w:r>
        <w:rPr>
          <w:rFonts w:ascii="Arial" w:hAnsi="Arial"/>
          <w:b w:val="0"/>
          <w:i w:val="0"/>
          <w:sz w:val="22"/>
          <w:u w:val="none"/>
        </w:rPr>
        <w:t>22. Que Asociart es la única ART que cubrió a Edenor S.A. y al trabajador Cabito al momento del accidente del 08/01/2024.</w:t>
      </w:r>
    </w:p>
    <w:p>
      <w:pPr>
        <w:spacing w:before="200" w:after="80"/>
        <w:jc w:val="both"/>
      </w:pPr>
      <w:r>
        <w:rPr>
          <w:rFonts w:ascii="Arial" w:hAnsi="Arial"/>
          <w:b/>
          <w:i w:val="0"/>
          <w:sz w:val="22"/>
          <w:u w:val="single"/>
        </w:rPr>
        <w:t>X.</w:t>
        <w:tab/>
        <w:t>EXCEPCIONES PREVIAS</w:t>
      </w:r>
    </w:p>
    <w:p>
      <w:pPr>
        <w:spacing w:before="0" w:after="120"/>
        <w:ind w:left="283"/>
        <w:jc w:val="both"/>
      </w:pPr>
      <w:r>
        <w:rPr>
          <w:rFonts w:ascii="Arial" w:hAnsi="Arial"/>
          <w:b w:val="0"/>
          <w:i w:val="0"/>
          <w:sz w:val="22"/>
          <w:u w:val="none"/>
        </w:rPr>
        <w:t>: La acción de repetición del art. 39 inc. 5 LRT es de naturaleza civil. El plazo de prescripción podría ser el del art. 2561 CCC (3 años) para responsabilidad civil extracontractual, o el del art. 58 Ley 17.418 (1 año) para la acción contra el asegurador. El accidente ocurrió el 08/01/2024. La mediación prejudicial fue realizada (acta adjunta). Verificar las fechas para evaluar la defensa.</w:t>
      </w:r>
    </w:p>
    <w:p>
      <w:pPr>
        <w:spacing w:before="200" w:after="80"/>
        <w:jc w:val="both"/>
      </w:pPr>
      <w:r>
        <w:rPr>
          <w:rFonts w:ascii="Arial" w:hAnsi="Arial"/>
          <w:b/>
          <w:i w:val="0"/>
          <w:sz w:val="22"/>
          <w:u w:val="single"/>
        </w:rPr>
        <w:t>XI.</w:t>
        <w:tab/>
        <w:t>DEFENSA DE FONDO</w:t>
      </w:r>
    </w:p>
    <w:p>
      <w:pPr>
        <w:spacing w:before="80" w:after="80"/>
        <w:jc w:val="both"/>
      </w:pPr>
      <w:r>
        <w:rPr>
          <w:rFonts w:ascii="Arial" w:hAnsi="Arial"/>
          <w:b/>
          <w:i w:val="0"/>
          <w:sz w:val="22"/>
          <w:u w:val="none"/>
        </w:rPr>
        <w:t xml:space="preserve">Inoponibilidad del expediente laboral como prueba de incapacidad y cuantía en este proceso. </w:t>
      </w:r>
      <w:r>
        <w:rPr>
          <w:rFonts w:ascii="Arial" w:hAnsi="Arial"/>
          <w:b w:val="0"/>
          <w:i w:val="0"/>
          <w:sz w:val="22"/>
          <w:u w:val="none"/>
        </w:rPr>
        <w:t>La acción de repetición del art. 39 inc. 5 LRT exige que la ART actora demuestre en este proceso civil: (a) la responsabilidad civil del demandado por el accidente de tránsito, (b) el nexo causal entre ese accidente y las lesiones del trabajador, y (c) el monto de las prestaciones efectivamente abonadas. La ART no puede limitarse a invocar lo resuelto en el expediente laboral (Expte. 45378/2024, JNIT N° 63) como prueba de la incapacidad del trabajador y del quantum de la prestación, dado que mi representada no fue parte en ese proceso, no tuvo posibilidad de controlar la pericia médica allí producida ni de impugnar el acuerdo homologado. La resolución del juicio laboral hace cosa juzgada entre Asociart y el trabajador Cabito, pero no es oponible a esta parte en la presente causa. Por ende, la ART debe acreditar de manera independiente en este proceso todos los presupuestos de la repetición.</w:t>
      </w:r>
    </w:p>
    <w:p>
      <w:pPr>
        <w:spacing w:before="80" w:after="80"/>
        <w:jc w:val="both"/>
      </w:pPr>
      <w:r>
        <w:rPr>
          <w:rFonts w:ascii="Arial" w:hAnsi="Arial"/>
          <w:b/>
          <w:i w:val="0"/>
          <w:sz w:val="22"/>
          <w:u w:val="none"/>
        </w:rPr>
        <w:t xml:space="preserve">Culpa concurrente / hecho de la víctima (art. 1729 CCC). </w:t>
      </w:r>
      <w:r>
        <w:rPr>
          <w:rFonts w:ascii="Arial" w:hAnsi="Arial"/>
          <w:b w:val="0"/>
          <w:i w:val="0"/>
          <w:sz w:val="22"/>
          <w:u w:val="none"/>
        </w:rPr>
        <w:t>Sin perjuicio de la negativa general de los hechos, y para el improbable supuesto de que V.S. tuviera por acreditado el siniestro en los términos de la demanda, esta parte invoca la culpa concurrente del trabajador Cabito en la producción del evento. El trabajador Cabito circulaba en motocicleta por la Av. General Paz, una arteria de alta velocidad, con la obligación de mantener en todo momento el dominio efectivo de su rodado y de anticipar las maniobras de los demás vehículos (art. 39 inc. b) Ley 24.449). La determinación definitiva de la incidencia causal de cada rodado queda sujeta a la producción de la prueba pericial mecánica y a las constancias de la causa penal.</w:t>
      </w:r>
    </w:p>
    <w:p>
      <w:pPr>
        <w:spacing w:before="80" w:after="80"/>
        <w:jc w:val="both"/>
      </w:pPr>
      <w:r>
        <w:rPr>
          <w:rFonts w:ascii="Arial" w:hAnsi="Arial"/>
          <w:b/>
          <w:i w:val="0"/>
          <w:sz w:val="22"/>
          <w:u w:val="none"/>
        </w:rPr>
        <w:t xml:space="preserve">Impugnación de montos y rubros reclamados — costas del expediente laboral no son recuperables. </w:t>
      </w:r>
      <w:r>
        <w:rPr>
          <w:rFonts w:ascii="Arial" w:hAnsi="Arial"/>
          <w:b w:val="0"/>
          <w:i w:val="0"/>
          <w:sz w:val="22"/>
          <w:u w:val="none"/>
        </w:rPr>
        <w:t>Las costas del expediente laboral Expte. 45378/2024 incluidas en el rubro 'ILP / Pagos Juicio' ($38.787.076 según la demanda) no son recuperables mediante la acción del art. 39 inc. 5 LRT. Dicha norma otorga a la ART el derecho a recuperar 'el valor de las prestaciones' previstas en la LRT, que son las tarifadas legalmente por los arts. 7, 8, 13, 14 y 20 de la LRT. Las costas del proceso judicial son un accesorio del pleito entre Asociart y el trabajador, derivadas de la relación entre esas dos partes, y no de la responsabilidad civil del demandado Rojas por el accidente de tránsito. Su inclusión en el reclamo de repetición extiende la acción más allá de su fundamento legal.</w:t>
      </w:r>
    </w:p>
    <w:p>
      <w:pPr>
        <w:spacing w:before="80" w:after="80"/>
        <w:jc w:val="both"/>
      </w:pPr>
      <w:r>
        <w:rPr>
          <w:rFonts w:ascii="Arial" w:hAnsi="Arial"/>
          <w:b/>
          <w:i w:val="0"/>
          <w:sz w:val="22"/>
          <w:u w:val="none"/>
        </w:rPr>
        <w:t xml:space="preserve">Oponibilidad del límite de cobertura (art. 118 Ley 17.418). </w:t>
      </w:r>
      <w:r>
        <w:rPr>
          <w:rFonts w:ascii="Arial" w:hAnsi="Arial"/>
          <w:b w:val="0"/>
          <w:i w:val="0"/>
          <w:sz w:val="22"/>
          <w:u w:val="none"/>
        </w:rPr>
        <w:t>Conforme lo detallado en la sección de oponibilidad, la condena a mi representada no puede exceder el límite de cobertura pactado en la póliza. La ART actora, al ejercitar la acción de repetición, se subroga en la posición del demandado asegurado y no puede tener más derechos que éste frente a su aseguradora. En consecuencia, la condena a Libra queda limitada al límite de cobertura pactado en la póliza, cualquiera sea el monto de condena contra el demandado Rojas.</w:t>
      </w:r>
    </w:p>
    <w:p>
      <w:pPr>
        <w:spacing w:before="200" w:after="80"/>
        <w:jc w:val="both"/>
      </w:pPr>
      <w:r>
        <w:rPr>
          <w:rFonts w:ascii="Arial" w:hAnsi="Arial"/>
          <w:b/>
          <w:i w:val="0"/>
          <w:sz w:val="22"/>
          <w:u w:val="single"/>
        </w:rPr>
        <w:t>XII.</w:t>
        <w:tab/>
        <w:t>IMPUGNACIÓN DE MONTOS RECLAMADOS</w:t>
      </w:r>
    </w:p>
    <w:p>
      <w:pPr>
        <w:spacing w:before="0" w:after="120"/>
        <w:jc w:val="both"/>
      </w:pPr>
      <w:r>
        <w:rPr>
          <w:rFonts w:ascii="Arial" w:hAnsi="Arial"/>
          <w:b w:val="0"/>
          <w:i w:val="0"/>
          <w:sz w:val="22"/>
          <w:u w:val="none"/>
        </w:rPr>
        <w:t>Sin perjuicio de la negativa general, y para el hipotético e improbable supuesto de que se admitiera parcialmente la pretensión, esta parte impugna los montos reclamados por los siguientes rubros:</w:t>
      </w:r>
    </w:p>
    <w:p>
      <w:pPr>
        <w:spacing w:before="80" w:after="80"/>
        <w:ind w:left="283"/>
        <w:jc w:val="both"/>
      </w:pPr>
      <w:r>
        <w:rPr>
          <w:rFonts w:ascii="Arial" w:hAnsi="Arial"/>
          <w:b/>
          <w:i w:val="0"/>
          <w:sz w:val="22"/>
          <w:u w:val="none"/>
        </w:rPr>
        <w:t>Prestaciones en especie</w:t>
      </w:r>
      <w:r>
        <w:rPr>
          <w:rFonts w:ascii="Arial" w:hAnsi="Arial"/>
          <w:b w:val="0"/>
          <w:i w:val="0"/>
          <w:sz w:val="22"/>
          <w:u w:val="none"/>
        </w:rPr>
        <w:t xml:space="preserve"> ($375.678,22)</w:t>
      </w:r>
      <w:r>
        <w:rPr>
          <w:rFonts w:ascii="Arial" w:hAnsi="Arial"/>
          <w:b w:val="0"/>
          <w:i w:val="0"/>
          <w:sz w:val="22"/>
          <w:u w:val="none"/>
        </w:rPr>
        <w:t>: El monto de $375.678,22 en prestaciones en especie fue determinado unilateralmente por Asociart según su propio Reporte de Gastos. Mi representada no tuvo acceso a los comprobantes ni a los criterios de facturación de los prestadores. La actora debe acreditar cada erogación con los comprobantes originales y demostrar su correspondencia causal con el accidente de autos. La pericia contable deberá verificar la realidad y cuantía de cada pago.</w:t>
      </w:r>
    </w:p>
    <w:p>
      <w:pPr>
        <w:spacing w:before="80" w:after="80"/>
        <w:ind w:left="283"/>
        <w:jc w:val="both"/>
      </w:pPr>
      <w:r>
        <w:rPr>
          <w:rFonts w:ascii="Arial" w:hAnsi="Arial"/>
          <w:b/>
          <w:i w:val="0"/>
          <w:sz w:val="22"/>
          <w:u w:val="none"/>
        </w:rPr>
        <w:t>Incapacidad Laboral Temporaria (ILT)</w:t>
      </w:r>
      <w:r>
        <w:rPr>
          <w:rFonts w:ascii="Arial" w:hAnsi="Arial"/>
          <w:b w:val="0"/>
          <w:i w:val="0"/>
          <w:sz w:val="22"/>
          <w:u w:val="none"/>
        </w:rPr>
        <w:t xml:space="preserve"> ($629.573,08)</w:t>
      </w:r>
      <w:r>
        <w:rPr>
          <w:rFonts w:ascii="Arial" w:hAnsi="Arial"/>
          <w:b w:val="0"/>
          <w:i w:val="0"/>
          <w:sz w:val="22"/>
          <w:u w:val="none"/>
        </w:rPr>
        <w:t>: El monto de $629.573,08 en ILT debe ser verificado por la pericia contable en función del salario base del trabajador Cabito acreditado documentalmente y del período de ILT efectivamente reconocido. Niego que el cálculo realizado por Asociart sea el que corresponde según el régimen de la LRT.</w:t>
      </w:r>
    </w:p>
    <w:p>
      <w:pPr>
        <w:spacing w:before="80" w:after="80"/>
        <w:ind w:left="283"/>
        <w:jc w:val="both"/>
      </w:pPr>
      <w:r>
        <w:rPr>
          <w:rFonts w:ascii="Arial" w:hAnsi="Arial"/>
          <w:b/>
          <w:i w:val="0"/>
          <w:sz w:val="22"/>
          <w:u w:val="none"/>
        </w:rPr>
        <w:t>Incapacidad Laboral Permanente — Pagos en juicio (ILP)</w:t>
      </w:r>
      <w:r>
        <w:rPr>
          <w:rFonts w:ascii="Arial" w:hAnsi="Arial"/>
          <w:b w:val="0"/>
          <w:i w:val="0"/>
          <w:sz w:val="22"/>
          <w:u w:val="none"/>
        </w:rPr>
        <w:t xml:space="preserve"> ($38.787.076)</w:t>
      </w:r>
      <w:r>
        <w:rPr>
          <w:rFonts w:ascii="Arial" w:hAnsi="Arial"/>
          <w:b w:val="0"/>
          <w:i w:val="0"/>
          <w:sz w:val="22"/>
          <w:u w:val="none"/>
        </w:rPr>
        <w:t>: El monto de $38.787.076 incluye el capital de $29.000.000 fijado en el acuerdo judicial homologado más costas del proceso laboral. Se impugna: (a) el capital de $29.000.000, determinado en un proceso en el que mi representada no fue parte y no pudo controlar la pericia ni el acuerdo; (b) las costas del juicio laboral, que no son recuperables por la vía del art. 39 inc. 5 LRT; (c) la totalidad del monto, que excede en su mayor parte el límite de cobertura de la póliza. La incapacidad del trabajador y el quantum de la prestación deben ser determinados en este proceso con prueba pericial independiente.</w:t>
      </w:r>
    </w:p>
    <w:p>
      <w:pPr>
        <w:spacing w:before="80" w:after="80"/>
        <w:ind w:left="283"/>
        <w:jc w:val="both"/>
      </w:pPr>
      <w:r>
        <w:rPr>
          <w:rFonts w:ascii="Arial" w:hAnsi="Arial"/>
          <w:b/>
          <w:i w:val="0"/>
          <w:sz w:val="22"/>
          <w:u w:val="none"/>
        </w:rPr>
        <w:t>Intereses con capitalización art. 770 inc. b) CCyCN</w:t>
      </w:r>
      <w:r>
        <w:rPr>
          <w:rFonts w:ascii="Arial" w:hAnsi="Arial"/>
          <w:b w:val="0"/>
          <w:i w:val="0"/>
          <w:sz w:val="22"/>
          <w:u w:val="none"/>
        </w:rPr>
        <w:t xml:space="preserve"> (A liquidar)</w:t>
      </w:r>
      <w:r>
        <w:rPr>
          <w:rFonts w:ascii="Arial" w:hAnsi="Arial"/>
          <w:b w:val="0"/>
          <w:i w:val="0"/>
          <w:sz w:val="22"/>
          <w:u w:val="none"/>
        </w:rPr>
        <w:t>: Se impugna la procedencia de la capitalización de intereses conforme el art. 770 inc. b) CCyCN sobre el total de los rubros reclamados, en especial sobre las costas del juicio laboral que — como se señaló — no son recuperables. La aplicación del art. 770 CCyCN queda sujeta a la evaluación del juez conforme las circunstancias del caso.</w:t>
      </w:r>
    </w:p>
    <w:p>
      <w:pPr>
        <w:spacing w:before="200" w:after="80"/>
        <w:jc w:val="both"/>
      </w:pPr>
      <w:r>
        <w:rPr>
          <w:rFonts w:ascii="Arial" w:hAnsi="Arial"/>
          <w:b/>
          <w:i w:val="0"/>
          <w:sz w:val="22"/>
          <w:u w:val="single"/>
        </w:rPr>
        <w:t>XIII.</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juicios otorgado a favor del letrado interviniente de Libra</w:t>
      </w:r>
    </w:p>
    <w:p>
      <w:pPr>
        <w:spacing w:before="0" w:after="60"/>
        <w:ind w:left="283"/>
        <w:jc w:val="both"/>
      </w:pPr>
      <w:r>
        <w:rPr>
          <w:rFonts w:ascii="Arial" w:hAnsi="Arial"/>
          <w:b w:val="0"/>
          <w:i w:val="0"/>
          <w:sz w:val="22"/>
          <w:u w:val="none"/>
        </w:rPr>
        <w:t>Póliza de seguro de Libra Compañía Argentina de Seguros S.A. para el vehículo Chevrolet Classic dominio MDP 995, asegurado Juan Carlos Rojas</w:t>
      </w:r>
    </w:p>
    <w:p>
      <w:pPr>
        <w:spacing w:before="0" w:after="60"/>
        <w:ind w:left="283"/>
        <w:jc w:val="both"/>
      </w:pPr>
      <w:r>
        <w:rPr>
          <w:rFonts w:ascii="Arial" w:hAnsi="Arial"/>
          <w:b w:val="0"/>
          <w:i w:val="0"/>
          <w:sz w:val="22"/>
          <w:u w:val="none"/>
        </w:rPr>
        <w:t>Expediente de siniestros de Libra Compañía Argentina de Seguros S.A. correspondiente al siniestro de autos</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DIRECCIÓN NACIONAL DEL REGISTRO DE LA PROPIEDAD AUTOMOTOR (DNRPA): que informe la titularidad dominial del automotor Chevrolet Classic dominio MDP 995 a la fecha del presunto accidente (08/01/2024) y en forma histórica</w:t>
      </w:r>
    </w:p>
    <w:p>
      <w:pPr>
        <w:spacing w:before="0" w:after="60"/>
        <w:ind w:left="283"/>
        <w:jc w:val="both"/>
      </w:pPr>
      <w:r>
        <w:rPr>
          <w:rFonts w:ascii="Arial" w:hAnsi="Arial"/>
          <w:b w:val="0"/>
          <w:i w:val="0"/>
          <w:sz w:val="22"/>
          <w:u w:val="none"/>
        </w:rPr>
        <w:t>A la UNIDAD FUNCIONAL DE FLAGRANCIA — UNIDAD FISCAL OESTE DEL MINISTERIO PÚBLICO FISCAL CABA: que remita ad effectum videndi et probandi copia de la causa penal DEN 1128930/MPF 958902 (Sumario 13698/2024) por Lesiones Culposas, damnificado Cabito Guido Hernán, imputado Juan Carlos Rojas</w:t>
      </w:r>
    </w:p>
    <w:p>
      <w:pPr>
        <w:spacing w:before="0" w:after="60"/>
        <w:ind w:left="283"/>
        <w:jc w:val="both"/>
      </w:pPr>
      <w:r>
        <w:rPr>
          <w:rFonts w:ascii="Arial" w:hAnsi="Arial"/>
          <w:b w:val="0"/>
          <w:i w:val="0"/>
          <w:sz w:val="22"/>
          <w:u w:val="none"/>
        </w:rPr>
        <w:t>Al JUZGADO NACIONAL DE PRIMERA INSTANCIA DEL TRABAJO N° 63: que remita ad effectum videndi et probandi los autos 'CABITO GUIDO HERNAN C/ ASOCIART S.A. ART S/ RECURSO LEY 27348' (Expte. 45378/2024) o copia certificada de sus partes pertinentes, en especial la pericia médica producida y el acuerdo homologado</w:t>
      </w:r>
    </w:p>
    <w:p>
      <w:pPr>
        <w:spacing w:before="0" w:after="60"/>
        <w:ind w:left="283"/>
        <w:jc w:val="both"/>
      </w:pPr>
      <w:r>
        <w:rPr>
          <w:rFonts w:ascii="Arial" w:hAnsi="Arial"/>
          <w:b w:val="0"/>
          <w:i w:val="0"/>
          <w:sz w:val="22"/>
          <w:u w:val="none"/>
        </w:rPr>
        <w:t>A la SUPERINTENDENCIA DE RIESGOS DEL TRABAJO: que informe si Edenor S.A. tenía celebrado contrato de seguro de riesgos del trabajo con Asociart S.A. ART con vigencia al 08/01/2024 y remita copia del Expediente SRT 128193/24</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accidentológica/mecánica: que el perito se expida sobre la mecánica del accidente ocurrido el 08/01/2024 en Av. General Paz a la altura de Nazarre, calidad de embistente/embestido de cada rodado, velocidades de circulación, y todo otro aspecto de interés</w:t>
      </w:r>
    </w:p>
    <w:p>
      <w:pPr>
        <w:spacing w:before="0" w:after="60"/>
        <w:ind w:left="283"/>
        <w:jc w:val="both"/>
      </w:pPr>
      <w:r>
        <w:rPr>
          <w:rFonts w:ascii="Arial" w:hAnsi="Arial"/>
          <w:b w:val="0"/>
          <w:i w:val="0"/>
          <w:sz w:val="22"/>
          <w:u w:val="none"/>
        </w:rPr>
        <w:t>Pericial médica: que evalúe las lesiones sufridas por el trabajador Cabito Guido Hernán (DNI 34.148.179) como consecuencia del accidente de autos, el grado de incapacidad resultante y su correspondencia causal con el hecho de la demanda — independientemente de lo resuelto en el expediente laboral</w:t>
      </w:r>
    </w:p>
    <w:p>
      <w:pPr>
        <w:spacing w:before="0" w:after="60"/>
        <w:ind w:left="283"/>
        <w:jc w:val="both"/>
      </w:pPr>
      <w:r>
        <w:rPr>
          <w:rFonts w:ascii="Arial" w:hAnsi="Arial"/>
          <w:b w:val="0"/>
          <w:i w:val="0"/>
          <w:sz w:val="22"/>
          <w:u w:val="none"/>
        </w:rPr>
        <w:t>Pericial contable: que verifique la realidad y cuantía de cada erogación efectuada por Asociart con causa en el siniestro N° 0-586544, su correspondencia con las prestaciones previstas en la LRT, y determine el importe efectivamente recuperable mediante la acción del art. 39 inc. 5 LRT</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del representante legal de Asociart S.A. ART, a tenor del pliego que se adjuntará oportunamente, en especial sobre las circunstancias del accidente, la fecha de denuncia del siniestro y los parámetros utilizados para calcular las prestaciones</w:t>
      </w:r>
    </w:p>
    <w:p>
      <w:pPr>
        <w:spacing w:before="200" w:after="80"/>
        <w:jc w:val="both"/>
      </w:pPr>
      <w:r>
        <w:rPr>
          <w:rFonts w:ascii="Arial" w:hAnsi="Arial"/>
          <w:b/>
          <w:i w:val="0"/>
          <w:sz w:val="22"/>
          <w:u w:val="single"/>
        </w:rPr>
        <w:t>XIV.</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XV.</w:t>
        <w:tab/>
        <w:t>PETITORIO</w:t>
      </w:r>
    </w:p>
    <w:p>
      <w:pPr>
        <w:spacing w:before="0" w:after="120"/>
        <w:jc w:val="both"/>
      </w:pPr>
      <w:r>
        <w:rPr>
          <w:rFonts w:ascii="Arial" w:hAnsi="Arial"/>
          <w:b w:val="0"/>
          <w:i w:val="0"/>
          <w:sz w:val="22"/>
          <w:u w:val="none"/>
        </w:rPr>
        <w:t>Por todo lo expuesto, de V.S. solicito:</w:t>
        <w:br/>
        <w:t>a) Se me tenga por presentada en el carácter de citada en garantía, por parte en las presentes actuaciones, y por constituidos los domicilios procesal y electrónico denunciados.</w:t>
        <w:br/>
        <w:t>b) Se tenga por contestada la demanda en tiempo y forma, con la negativa general y particular de los hechos y el derecho invocados por la actora Asociart.</w:t>
        <w:br/>
        <w:t>c) Se tenga presente la impugnación de toda la documental acompañada por la actora.</w:t>
        <w:br/>
        <w:t>d) Se tenga presente la excepción de prescripción con reserva de ampliarla.</w:t>
        <w:br/>
        <w:t>e) Oportunamente, se rechace la demanda en todas sus partes, con expresa imposición de costas a la actora.</w:t>
        <w:br/>
        <w:t>f) En subsidio, para el improbable supuesto de que se hiciera lugar a la demanda, se tenga presente: (i) que las costas del expediente laboral Expte. 45378/2024 no son recuperables por vía del art. 39 inc. 5 LRT; (ii) que el límite de cobertura pactado en la póliza opera como tope de la condena a mi representada conforme el art. 118 de la Ley 17.418 y la doctrina reiterada de la CSJN.</w:t>
        <w:br/>
        <w:t>g) Se tenga por ofrecida la prueba indicada precedentemente.</w:t>
        <w:br/>
        <w:t>h) Se tenga presente la defensa en juicio del asegurado y la consecuente responsabilidad de Rojas por los honorarios de su letrado particular en caso de que haya asumido su propia defensa sin noticia a mi representada.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