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SmartBank Customer Churn Prediction Report</w:t>
      </w:r>
    </w:p>
    <w:p>
      <w:pPr>
        <w:jc w:val="center"/>
      </w:pPr>
      <w:r>
        <w:t>Generated: May 25, 2026</w:t>
        <w:br/>
      </w:r>
    </w:p>
    <w:p>
      <w:pPr>
        <w:pStyle w:val="Heading1"/>
      </w:pPr>
      <w:r>
        <w:rPr>
          <w:color w:val="1F497D"/>
        </w:rPr>
        <w:t>1. Executive Summary</w:t>
      </w:r>
    </w:p>
    <w:p>
      <w:r>
        <w:t>This report outlines the development and evaluation of binary churn prediction models for SmartBank. The primary goal is to identify customers at risk of churning to enable proactive retention strategies. The recommended model is a Tuned Random Forest, which balances predictive modeling capabilities, feature explainability, and practical scalability. Because false negatives (missing a churner) are highly costly in this context, we adjusted the operating threshold to prioritize recall, establishing a baseline pilot model to guide immediate business action.</w:t>
      </w:r>
    </w:p>
    <w:p>
      <w:pPr>
        <w:pStyle w:val="Heading1"/>
      </w:pPr>
      <w:r>
        <w:rPr>
          <w:color w:val="1F497D"/>
        </w:rPr>
        <w:t>2. Algorithm Selection and Rationale</w:t>
      </w:r>
    </w:p>
    <w:p>
      <w:r>
        <w:t>For this binary classification problem, several algorithms were evaluated including Logistic Regression, Decision Trees, Gradient Boosting, XGBoost, and Random Forest.</w:t>
      </w:r>
    </w:p>
    <w:p>
      <w:r>
        <w:t>Selected Algorithm: Random Forest</w:t>
        <w:br/>
        <w:br/>
        <w:t>Rationale:</w:t>
        <w:br/>
        <w:t>• Non-Linearity: Churn behaviors often involve complex, non-linear interactions between variables (e.g., tenure and digital engagement). Random Forest captures these natively without requiring extensive feature engineering.</w:t>
        <w:br/>
        <w:t>• Explainability: Unlike Neural Networks or deeply tuned XGBoost models, Random Forest provides robust feature importance and is easily interpretable with SHAP values. This is critical for stakeholders who need to know 'why' a customer is churning to tailor retention offers.</w:t>
        <w:br/>
        <w:t>• Imbalance Handling: The dataset exhibits meaningful class imbalance (approx. 80% non-churn vs. 20% churn). Random Forest natively supports class weighting ('balanced_subsample'), which transparently handles under-represented churners without synthesizing data.</w:t>
        <w:br/>
        <w:t>• Operational Reliability: It is less prone to overfitting than a single Decision Tree and requires less meticulous tuning than Gradient Boosting, making it a highly stable choice for a production banking environment.</w:t>
      </w:r>
    </w:p>
    <w:p>
      <w:pPr>
        <w:pStyle w:val="Heading1"/>
      </w:pPr>
      <w:r>
        <w:rPr>
          <w:color w:val="1F497D"/>
        </w:rPr>
        <w:t>3. Model Performance and Evaluation</w:t>
      </w:r>
    </w:p>
    <w:p>
      <w:r>
        <w:t>The tuned Random Forest model was evaluated against other baseline and challenger models using a hold-out test 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Model</w:t>
            </w:r>
          </w:p>
        </w:tc>
        <w:tc>
          <w:tcPr>
            <w:tcW w:type="dxa" w:w="1440"/>
          </w:tcPr>
          <w:p>
            <w:r>
              <w:rPr>
                <w:b/>
              </w:rPr>
              <w:t>Accuracy</w:t>
            </w:r>
          </w:p>
        </w:tc>
        <w:tc>
          <w:tcPr>
            <w:tcW w:type="dxa" w:w="1440"/>
          </w:tcPr>
          <w:p>
            <w:r>
              <w:rPr>
                <w:b/>
              </w:rPr>
              <w:t>Precision</w:t>
            </w:r>
          </w:p>
        </w:tc>
        <w:tc>
          <w:tcPr>
            <w:tcW w:type="dxa" w:w="1440"/>
          </w:tcPr>
          <w:p>
            <w:r>
              <w:rPr>
                <w:b/>
              </w:rPr>
              <w:t>Recall</w:t>
            </w:r>
          </w:p>
        </w:tc>
        <w:tc>
          <w:tcPr>
            <w:tcW w:type="dxa" w:w="1440"/>
          </w:tcPr>
          <w:p>
            <w:r>
              <w:rPr>
                <w:b/>
              </w:rPr>
              <w:t>F1 Score</w:t>
            </w:r>
          </w:p>
        </w:tc>
        <w:tc>
          <w:tcPr>
            <w:tcW w:type="dxa" w:w="1440"/>
          </w:tcPr>
          <w:p>
            <w:r>
              <w:rPr>
                <w:b/>
              </w:rPr>
              <w:t>ROC-AUC</w:t>
            </w:r>
          </w:p>
        </w:tc>
      </w:tr>
      <w:tr>
        <w:tc>
          <w:tcPr>
            <w:tcW w:type="dxa" w:w="1440"/>
          </w:tcPr>
          <w:p>
            <w:r>
              <w:t>Logistic Regression</w:t>
            </w:r>
          </w:p>
        </w:tc>
        <w:tc>
          <w:tcPr>
            <w:tcW w:type="dxa" w:w="1440"/>
          </w:tcPr>
          <w:p>
            <w:r>
              <w:t>0.465</w:t>
            </w:r>
          </w:p>
        </w:tc>
        <w:tc>
          <w:tcPr>
            <w:tcW w:type="dxa" w:w="1440"/>
          </w:tcPr>
          <w:p>
            <w:r>
              <w:t>0.189</w:t>
            </w:r>
          </w:p>
        </w:tc>
        <w:tc>
          <w:tcPr>
            <w:tcW w:type="dxa" w:w="1440"/>
          </w:tcPr>
          <w:p>
            <w:r>
              <w:t>0.488</w:t>
            </w:r>
          </w:p>
        </w:tc>
        <w:tc>
          <w:tcPr>
            <w:tcW w:type="dxa" w:w="1440"/>
          </w:tcPr>
          <w:p>
            <w:r>
              <w:t>0.272</w:t>
            </w:r>
          </w:p>
        </w:tc>
        <w:tc>
          <w:tcPr>
            <w:tcW w:type="dxa" w:w="1440"/>
          </w:tcPr>
          <w:p>
            <w:r>
              <w:t>0.507</w:t>
            </w:r>
          </w:p>
        </w:tc>
      </w:tr>
      <w:tr>
        <w:tc>
          <w:tcPr>
            <w:tcW w:type="dxa" w:w="1440"/>
          </w:tcPr>
          <w:p>
            <w:r>
              <w:t>Decision Tree</w:t>
            </w:r>
          </w:p>
        </w:tc>
        <w:tc>
          <w:tcPr>
            <w:tcW w:type="dxa" w:w="1440"/>
          </w:tcPr>
          <w:p>
            <w:r>
              <w:t>0.500</w:t>
            </w:r>
          </w:p>
        </w:tc>
        <w:tc>
          <w:tcPr>
            <w:tcW w:type="dxa" w:w="1440"/>
          </w:tcPr>
          <w:p>
            <w:r>
              <w:t>0.183</w:t>
            </w:r>
          </w:p>
        </w:tc>
        <w:tc>
          <w:tcPr>
            <w:tcW w:type="dxa" w:w="1440"/>
          </w:tcPr>
          <w:p>
            <w:r>
              <w:t>0.415</w:t>
            </w:r>
          </w:p>
        </w:tc>
        <w:tc>
          <w:tcPr>
            <w:tcW w:type="dxa" w:w="1440"/>
          </w:tcPr>
          <w:p>
            <w:r>
              <w:t>0.254</w:t>
            </w:r>
          </w:p>
        </w:tc>
        <w:tc>
          <w:tcPr>
            <w:tcW w:type="dxa" w:w="1440"/>
          </w:tcPr>
          <w:p>
            <w:r>
              <w:t>0.494</w:t>
            </w:r>
          </w:p>
        </w:tc>
      </w:tr>
      <w:tr>
        <w:tc>
          <w:tcPr>
            <w:tcW w:type="dxa" w:w="1440"/>
          </w:tcPr>
          <w:p>
            <w:r>
              <w:t>Random Forest (Default)</w:t>
            </w:r>
          </w:p>
        </w:tc>
        <w:tc>
          <w:tcPr>
            <w:tcW w:type="dxa" w:w="1440"/>
          </w:tcPr>
          <w:p>
            <w:r>
              <w:t>0.790</w:t>
            </w:r>
          </w:p>
        </w:tc>
        <w:tc>
          <w:tcPr>
            <w:tcW w:type="dxa" w:w="1440"/>
          </w:tcPr>
          <w:p>
            <w:r>
              <w:t>0.333</w:t>
            </w:r>
          </w:p>
        </w:tc>
        <w:tc>
          <w:tcPr>
            <w:tcW w:type="dxa" w:w="1440"/>
          </w:tcPr>
          <w:p>
            <w:r>
              <w:t>0.024</w:t>
            </w:r>
          </w:p>
        </w:tc>
        <w:tc>
          <w:tcPr>
            <w:tcW w:type="dxa" w:w="1440"/>
          </w:tcPr>
          <w:p>
            <w:r>
              <w:t>0.045</w:t>
            </w:r>
          </w:p>
        </w:tc>
        <w:tc>
          <w:tcPr>
            <w:tcW w:type="dxa" w:w="1440"/>
          </w:tcPr>
          <w:p>
            <w:r>
              <w:t>0.493</w:t>
            </w:r>
          </w:p>
        </w:tc>
      </w:tr>
      <w:tr>
        <w:tc>
          <w:tcPr>
            <w:tcW w:type="dxa" w:w="1440"/>
          </w:tcPr>
          <w:p>
            <w:r>
              <w:t>Gradient Boosting</w:t>
            </w:r>
          </w:p>
        </w:tc>
        <w:tc>
          <w:tcPr>
            <w:tcW w:type="dxa" w:w="1440"/>
          </w:tcPr>
          <w:p>
            <w:r>
              <w:t>0.780</w:t>
            </w:r>
          </w:p>
        </w:tc>
        <w:tc>
          <w:tcPr>
            <w:tcW w:type="dxa" w:w="1440"/>
          </w:tcPr>
          <w:p>
            <w:r>
              <w:t>0.286</w:t>
            </w:r>
          </w:p>
        </w:tc>
        <w:tc>
          <w:tcPr>
            <w:tcW w:type="dxa" w:w="1440"/>
          </w:tcPr>
          <w:p>
            <w:r>
              <w:t>0.049</w:t>
            </w:r>
          </w:p>
        </w:tc>
        <w:tc>
          <w:tcPr>
            <w:tcW w:type="dxa" w:w="1440"/>
          </w:tcPr>
          <w:p>
            <w:r>
              <w:t>0.083</w:t>
            </w:r>
          </w:p>
        </w:tc>
        <w:tc>
          <w:tcPr>
            <w:tcW w:type="dxa" w:w="1440"/>
          </w:tcPr>
          <w:p>
            <w:r>
              <w:t>0.492</w:t>
            </w:r>
          </w:p>
        </w:tc>
      </w:tr>
      <w:tr>
        <w:tc>
          <w:tcPr>
            <w:tcW w:type="dxa" w:w="1440"/>
          </w:tcPr>
          <w:p>
            <w:r>
              <w:t>XGBoost</w:t>
            </w:r>
          </w:p>
        </w:tc>
        <w:tc>
          <w:tcPr>
            <w:tcW w:type="dxa" w:w="1440"/>
          </w:tcPr>
          <w:p>
            <w:r>
              <w:t>0.555</w:t>
            </w:r>
          </w:p>
        </w:tc>
        <w:tc>
          <w:tcPr>
            <w:tcW w:type="dxa" w:w="1440"/>
          </w:tcPr>
          <w:p>
            <w:r>
              <w:t>0.147</w:t>
            </w:r>
          </w:p>
        </w:tc>
        <w:tc>
          <w:tcPr>
            <w:tcW w:type="dxa" w:w="1440"/>
          </w:tcPr>
          <w:p>
            <w:r>
              <w:t>0.244</w:t>
            </w:r>
          </w:p>
        </w:tc>
        <w:tc>
          <w:tcPr>
            <w:tcW w:type="dxa" w:w="1440"/>
          </w:tcPr>
          <w:p>
            <w:r>
              <w:t>0.183</w:t>
            </w:r>
          </w:p>
        </w:tc>
        <w:tc>
          <w:tcPr>
            <w:tcW w:type="dxa" w:w="1440"/>
          </w:tcPr>
          <w:p>
            <w:r>
              <w:t>0.438</w:t>
            </w:r>
          </w:p>
        </w:tc>
      </w:tr>
      <w:tr>
        <w:tc>
          <w:tcPr>
            <w:tcW w:type="dxa" w:w="1440"/>
          </w:tcPr>
          <w:p>
            <w:r>
              <w:t>Tuned Random Forest</w:t>
            </w:r>
          </w:p>
        </w:tc>
        <w:tc>
          <w:tcPr>
            <w:tcW w:type="dxa" w:w="1440"/>
          </w:tcPr>
          <w:p>
            <w:r>
              <w:t>0.670</w:t>
            </w:r>
          </w:p>
        </w:tc>
        <w:tc>
          <w:tcPr>
            <w:tcW w:type="dxa" w:w="1440"/>
          </w:tcPr>
          <w:p>
            <w:r>
              <w:t>0.143</w:t>
            </w:r>
          </w:p>
        </w:tc>
        <w:tc>
          <w:tcPr>
            <w:tcW w:type="dxa" w:w="1440"/>
          </w:tcPr>
          <w:p>
            <w:r>
              <w:t>0.122</w:t>
            </w:r>
          </w:p>
        </w:tc>
        <w:tc>
          <w:tcPr>
            <w:tcW w:type="dxa" w:w="1440"/>
          </w:tcPr>
          <w:p>
            <w:r>
              <w:t>0.132</w:t>
            </w:r>
          </w:p>
        </w:tc>
        <w:tc>
          <w:tcPr>
            <w:tcW w:type="dxa" w:w="1440"/>
          </w:tcPr>
          <w:p>
            <w:r>
              <w:t>0.483</w:t>
            </w:r>
          </w:p>
        </w:tc>
      </w:tr>
    </w:tbl>
    <w:p>
      <w:r>
        <w:br/>
        <w:t>Note: At the standard 0.50 probability threshold, the Tuned Random Forest achieved an accuracy of 67.0%. However, its recall (12.2%) was extremely low, meaning it missed too many actual churners.</w:t>
      </w:r>
    </w:p>
    <w:p>
      <w:r>
        <w:t>Threshold Optimization:</w:t>
        <w:br/>
        <w:t>To address the low recall, the operating threshold was lowered from 0.50 to 0.370. At this threshold, the model's performance shifted to:</w:t>
        <w:br/>
        <w:t>• Recall: 63.4% (Significantly fewer false negatives: reduced from 36 to 15 missed churners)</w:t>
        <w:br/>
        <w:t>• Precision: 18.8%</w:t>
        <w:br/>
        <w:t>• F1 Score: 0.291</w:t>
        <w:br/>
        <w:t>This trade-off accepts a higher volume of false positives in order to successfully identify a much larger portion of at-risk customers, a necessary strategy for a pilot retention campaign.</w:t>
      </w:r>
    </w:p>
    <w:p>
      <w:pPr>
        <w:pStyle w:val="Heading1"/>
      </w:pPr>
      <w:r>
        <w:rPr>
          <w:color w:val="1F497D"/>
        </w:rPr>
        <w:t>4. Business Utilization and Recommendations</w:t>
      </w:r>
    </w:p>
    <w:p>
      <w:r>
        <w:t>To extract maximum value from these predictive insights, we recommend the following strategic actions:</w:t>
      </w:r>
    </w:p>
    <w:p>
      <w:pPr>
        <w:pStyle w:val="ListBullet"/>
      </w:pPr>
      <w:r>
        <w:t>Risk Segmentation: Score customers on a weekly or monthly cadence. Segment them into High, Medium, and Low risk bands rather than using raw probabilities.</w:t>
      </w:r>
    </w:p>
    <w:p>
      <w:pPr>
        <w:pStyle w:val="ListBullet"/>
      </w:pPr>
      <w:r>
        <w:t>Targeted Routing: Route high-risk customers directly to retention teams. Ensure the routing includes the top contributing risk factors (e.g., 'Low Login Frequency', 'Declining Average Spend') so agents have context.</w:t>
      </w:r>
    </w:p>
    <w:p>
      <w:pPr>
        <w:pStyle w:val="ListBullet"/>
      </w:pPr>
      <w:r>
        <w:t>Prioritization Rules: Combine the model's scores with business rules. For instance, prioritize high-risk customers who also have unresolved complaints or recent drops in transaction activity.</w:t>
      </w:r>
    </w:p>
    <w:p>
      <w:pPr>
        <w:pStyle w:val="ListBullet"/>
      </w:pPr>
      <w:r>
        <w:t>Campaign Capacity Management: While the 0.370 threshold captures many churners, it generates a larger list. Cap outbound retention campaigns based on team capacity to avoid resource strain.</w:t>
      </w:r>
    </w:p>
    <w:p>
      <w:pPr>
        <w:pStyle w:val="ListBullet"/>
      </w:pPr>
      <w:r>
        <w:t>Track and Learn: Log all intervention outcomes. Monitor which retention offers successfully save customers and feed this data back into future iterations of the model.</w:t>
      </w:r>
    </w:p>
    <w:p>
      <w:pPr>
        <w:pStyle w:val="Heading1"/>
      </w:pPr>
      <w:r>
        <w:rPr>
          <w:color w:val="1F497D"/>
        </w:rPr>
        <w:t>5. Areas for Improvement</w:t>
      </w:r>
    </w:p>
    <w:p>
      <w:r>
        <w:t>As a pilot model, the current iteration establishes a baseline. Future improvements should focus on:</w:t>
      </w:r>
    </w:p>
    <w:p>
      <w:pPr>
        <w:pStyle w:val="ListBullet"/>
      </w:pPr>
      <w:r>
        <w:t>Advanced Feature Engineering: Introduce richer behavioral trend features, such as month-over-month transaction declines, salary-credit changes, and product usage drops.</w:t>
      </w:r>
    </w:p>
    <w:p>
      <w:pPr>
        <w:pStyle w:val="ListBullet"/>
      </w:pPr>
      <w:r>
        <w:t>Dynamic Optimization: Test varying probability thresholds directly aligned with marketing ROI and specific campaign budgets.</w:t>
      </w:r>
    </w:p>
    <w:p>
      <w:pPr>
        <w:pStyle w:val="ListBullet"/>
      </w:pPr>
      <w:r>
        <w:t>Probability Calibration: Apply Platt scaling or isotonic regression to the Random Forest outputs to ensure predicted probabilities match real-world churn rates.</w:t>
      </w:r>
    </w:p>
    <w:p>
      <w:pPr>
        <w:pStyle w:val="ListBullet"/>
      </w:pPr>
      <w:r>
        <w:t>Continuous Monitoring: Establish alerts for model drift and changes in feature distributions to trigger retraining schedules.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