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sz w:val="24"/>
          <w:szCs w:val="24"/>
        </w:rPr>
        <w:t xml:space="preserve"/>
      </w:r>
    </w:p>
    <w:p>
      <w:pPr>
        <w:spacing w:after="480"/>
        <w:jc w:val="center"/>
      </w:pPr>
      <w:r>
        <w:rPr>
          <w:b/>
          <w:bCs/>
          <w:sz w:val="28"/>
          <w:szCs w:val="28"/>
        </w:rPr>
        <w:t xml:space="preserve">MAESTRÍA EN FILOSOFÍA</w:t>
      </w:r>
    </w:p>
    <w:p>
      <w:pPr>
        <w:spacing w:after="1440"/>
        <w:jc w:val="center"/>
      </w:pPr>
      <w:r>
        <w:rPr>
          <w:sz w:val="24"/>
          <w:szCs w:val="24"/>
        </w:rPr>
        <w:t xml:space="preserve">[Nombre de la Universidad]</w:t>
      </w:r>
    </w:p>
    <w:p>
      <w:pPr>
        <w:spacing w:before="960" w:after="960"/>
        <w:jc w:val="center"/>
      </w:pPr>
      <w:r>
        <w:rPr>
          <w:b/>
          <w:bCs/>
          <w:sz w:val="32"/>
          <w:szCs w:val="32"/>
        </w:rPr>
        <w:t xml:space="preserve">LA CATEDRAL Y EL REPOSITORIO:</w:t>
      </w:r>
    </w:p>
    <w:p>
      <w:pPr>
        <w:spacing w:after="240"/>
        <w:jc w:val="center"/>
      </w:pPr>
      <w:r>
        <w:rPr>
          <w:b/>
          <w:bCs/>
          <w:sz w:val="28"/>
          <w:szCs w:val="28"/>
        </w:rPr>
        <w:t xml:space="preserve">Ontología Política de la Infraestructura del Conocimiento</w:t>
      </w:r>
    </w:p>
    <w:p>
      <w:pPr>
        <w:spacing w:after="960"/>
        <w:jc w:val="center"/>
      </w:pPr>
      <w:r>
        <w:rPr>
          <w:i/>
          <w:iCs/>
          <w:sz w:val="24"/>
          <w:szCs w:val="24"/>
        </w:rPr>
        <w:t xml:space="preserve">en la Era de la Reproducción Técnica Algorítmica</w:t>
      </w:r>
    </w:p>
    <w:p>
      <w:pPr>
        <w:spacing w:before="1440" w:after="480"/>
        <w:jc w:val="center"/>
      </w:pPr>
      <w:r>
        <w:rPr>
          <w:sz w:val="24"/>
          <w:szCs w:val="24"/>
        </w:rPr>
        <w:t xml:space="preserve">Propuesta de Tesis</w:t>
      </w:r>
    </w:p>
    <w:p>
      <w:pPr>
        <w:spacing w:before="960"/>
        <w:jc w:val="center"/>
      </w:pPr>
      <w:r>
        <w:rPr>
          <w:sz w:val="24"/>
          <w:szCs w:val="24"/>
        </w:rPr>
        <w:t xml:space="preserve">Presentada por:</w:t>
      </w:r>
    </w:p>
    <w:p>
      <w:pPr>
        <w:spacing w:after="480"/>
        <w:jc w:val="center"/>
      </w:pPr>
      <w:r>
        <w:rPr>
          <w:b/>
          <w:bCs/>
          <w:sz w:val="24"/>
          <w:szCs w:val="24"/>
        </w:rPr>
        <w:t xml:space="preserve">[Nombre del Estudiante]</w:t>
      </w:r>
    </w:p>
    <w:p>
      <w:pPr>
        <w:spacing w:before="480"/>
        <w:jc w:val="center"/>
      </w:pPr>
      <w:r>
        <w:rPr>
          <w:sz w:val="24"/>
          <w:szCs w:val="24"/>
        </w:rPr>
        <w:t xml:space="preserve">[Año]</w:t>
      </w:r>
    </w:p>
    <w:p>
      <w:r>
        <w:br w:type="page"/>
      </w:r>
    </w:p>
    <w:p>
      <w:pPr>
        <w:pStyle w:val="Heading1"/>
      </w:pPr>
      <w:r>
        <w:t xml:space="preserve">Introducción: El Pharmakon Digital</w:t>
      </w:r>
    </w:p>
    <w:p>
      <w:pPr>
        <w:spacing w:before="240" w:after="240" w:line="360"/>
      </w:pPr>
      <w:r>
        <w:t xml:space="preserve">En el diálogo platónico Fedro, Sócrates relata el mito de Theuth, inventor de la escritura, quien presenta su creación al rey Thamus como un pharmakon que hará a los egipcios más sabios y mejorará su memoria. El soberano, sin embargo, pronuncia un veredicto que resuena a través de los milenios: esta invención, advierte, producirá en las almas de quienes la aprendan el olvido, por el descuido de la memoria, ya que, fiándose de lo escrito, llegarán al recuerdo desde fuera, a través de caracteres ajenos, no desde dentro, desde sí mismos. La ambivalencia del pharmakon platónico, remedio y veneno simultáneamente, no es accidental. Jacques Derrida dedicó páginas luminosas a mostrar cómo esta ambigüedad no es defecto sino esencia: el pharmakon es aquello que perturba la oposición entre bien y mal, entre interior y exterior, entre lo propio y lo ajeno. La escritura, ese suplemento peligroso, no añade desde fuera algo a una memoria que sería completa sin ella; la constituye al tiempo que la amenaza.</w:t>
      </w:r>
    </w:p>
    <w:p>
      <w:pPr>
        <w:spacing w:before="240" w:after="240" w:line="360"/>
      </w:pPr>
      <w:r>
        <w:t xml:space="preserve">Esta antigua escena del debate sobre la tecnología de la inscripción adquiere una actualidad vertiginosa. La infraestructura digital que sostiene la producción académica contemporánea se revela, también ella, como un pharmakon cuya doble naturaleza apenas comenzamos a comprender. Promete la democratización radical del acceso al conocimiento, la aceleración exponencial del descubrimiento, la colaboración sin fronteras. Pero simultáneamente amenaza con la erosión de las condiciones mismas de posibilidad del pensamiento riguroso, con la sustitución de la memoria viva por bases de datos externas, con la fragmentación de la atención en flujos incesantes de información. Como el rey Thamus ante Theuth, la academia contemporánea debe preguntarse si lo que se presenta como progreso técnico no oculta una transformación antropológica cuyos efectos apenas intuimos.</w:t>
      </w:r>
    </w:p>
    <w:p>
      <w:pPr>
        <w:spacing w:before="240" w:after="240" w:line="360"/>
      </w:pPr>
      <w:r>
        <w:t xml:space="preserve">La academia del siglo XXI atraviesa una crisis que excede lo meramente administrativo o económico. Se trata de una crisis ontológica, una fisura en la estructura misma de lo que significa conocer, validar y transmitir. Walter Benjamin, en su ensayo de 1936 sobre la obra de arte en la época de su reproducción técnica, identificó cómo la fotografía y el cine no solo transformaban los modos de distribución del arte sino su esencia misma. Lo que Benjamin denominó el aura de la obra, esa presencia única en el tiempo y el espacio, se marchita ante la posibilidad de reproducción infinita. Pero esta pérdida no es simplemente negativa; libera potencialidades políticas nuevas, democratiza el acceso, aunque al precio de una transformación en la naturaleza misma de la experiencia estética. Lo que Benjamin percibió en el dominio del arte se repite ahora, con consecuencias aún más vertiginosas, en el dominio del conocimiento.</w:t>
      </w:r>
    </w:p>
    <w:p>
      <w:pPr>
        <w:spacing w:before="240" w:after="240" w:line="360"/>
      </w:pPr>
      <w:r>
        <w:t xml:space="preserve">La reproducción técnica algorítmica del conocimiento no preserva la sustancia del saber mientras democratiza su acceso; la transforma en su núcleo, alterando las relaciones de producción intelectual, los criterios de validación y la economía política de la verdad. Si la fotografía permitía reproducir la imagen de una pintura pero no su aura, los sistemas contemporáneos de generación de texto permiten reproducir la forma del discurso académico sin la trayectoria biográfica, institucional y material que lo produjo. La pregunta benjaminiana adquiere una urgencia nueva: ¿qué se pierde y qué se gana en esta transformación? ¿Qué nuevas formas de autoridad emergen cuando la antigua aura del experto se desvanece?</w:t>
      </w:r>
    </w:p>
    <w:p>
      <w:pPr>
        <w:spacing w:before="240" w:after="240" w:line="360"/>
      </w:pPr>
      <w:r>
        <w:t xml:space="preserve">Esta investigación sostiene una tesis que requiere fundamentación cuidadosa: la arquitectura de los repositorios y plataformas académicas no constituye un contenedor neutral para el conocimiento producido en otra parte. Esta afirmación, que podría parecer trivial, implica una ruptura con la comprensión instrumental de la tecnología que pervade el sentido común académico. Antes bien, estas infraestructuras digitales son la materialización de una ontología política específica, una visión sobre qué es el conocimiento, quién posee la autoridad para certificarlo, a quién pertenece y bajo qué condiciones puede circular. Michel Foucault articuló esta intuición con precisión en su análisis del poder: el poder no es primariamente represivo sino productivo. En la formulación memorable de Vigilar y Castigar, el poder produce realidad, produce dominios de objetos y rituales de verdad.</w:t>
      </w:r>
    </w:p>
    <w:p>
      <w:pPr>
        <w:spacing w:before="240" w:after="240" w:line="360"/>
      </w:pPr>
      <w:r>
        <w:t xml:space="preserve">Las plataformas digitales académicas son, en este sentido foucaultiano preciso, dispositivos de poder/saber. No organizan textos ya existentes de manera neutral; constituyen el campo mismo de lo que cuenta como conocimiento legítimo. Determinan qué puede ser visto y qué permanece invisible, qué conexiones son posibles y cuáles impensables, qué formas de autoría son reconocidas y cuáles borradas. Esta constitución no ocurre mediante decreto explícito sino mediante la operación silenciosa de algoritmos, protocolos y interfaces cuya lógica raramente se somete a escrutinio filosófico. Como Langdon Winner argumentó en su influyente ensayo sobre los artefactos políticos, los objetos técnicos tienen política, encarnan relaciones de poder que se presentan como meras necesidades técnicas.</w:t>
      </w:r>
    </w:p>
    <w:p>
      <w:pPr>
        <w:spacing w:before="360" w:after="360" w:line="360"/>
      </w:pPr>
      <w:r>
        <w:rPr>
          <w:b/>
          <w:bCs/>
          <w:sz w:val="22"/>
          <w:szCs w:val="22"/>
        </w:rPr>
        <w:t xml:space="preserve">ESQUEMA 1: La Doble Naturaleza del Pharmakon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rPr>
              <w:t xml:space="preserve">Dimensión</w:t>
            </w:r>
          </w:p>
        </w:tc>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rPr>
              <w:t xml:space="preserve">Remedio (Promesa)</w:t>
            </w:r>
          </w:p>
        </w:tc>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rPr>
              <w:t xml:space="preserve">Veneno (Amenaza)</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i/>
                <w:iCs/>
              </w:rPr>
              <w:t xml:space="preserve">Epistemológica</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Acceso universal al conocimiento, democratización del saber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Fragmentación de la atención, pérdida de profundidad hermenéutica</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i/>
                <w:iCs/>
              </w:rPr>
              <w:t xml:space="preserve">Social</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Colaboración sin fronteras, ciencia abierta y transparente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Extracción de valor mediante plataformas privadas, vigilancia epistémica</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i/>
                <w:iCs/>
              </w:rPr>
              <w:t xml:space="preserve">Temporal</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Aceleración del descubrimiento, síntesis instantánea</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Erosión de la memoria institucional, presentismo radical</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i/>
                <w:iCs/>
              </w:rPr>
              <w:t xml:space="preserve">Ontológica</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Conocimiento como red dinámica, emergencia colectiva</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Reificación del conocimiento, fetichización del dato</w:t>
            </w:r>
          </w:p>
        </w:tc>
      </w:tr>
    </w:tbl>
    <w:p>
      <w:pPr>
        <w:spacing w:before="360" w:after="240" w:line="360"/>
      </w:pPr>
      <w:r>
        <w:t xml:space="preserve">La metáfora arquitectónica que titula esta investigación no es arbitraria ni meramente ornamental. Evoca deliberadamente el célebre ensayo de Eric Raymond, La Catedral y el Bazar, sobre dos modos radicalmente divergentes de producción de software. Raymond describe la Catedral como el modelo tradicional: desarrollo centralizado, jerarquizado, donde el código es cuidadosamente diseñado por un grupo selecto de arquitectos antes de ser liberado al público. El Bazar, por contraste, es caótico, horizontal, donde el código evoluciona mediante contribuciones distribuidas y la selección darwiniana de las mejores soluciones. Como Raymond formula con la que él denomina Ley de Linus: dadas suficientes miradas, todos los errores se vuelven evidentes. La genialidad no reside en un diseñador omnisciente sino en la inteligencia colectiva del enjambre.</w:t>
      </w:r>
    </w:p>
    <w:p>
      <w:pPr>
        <w:spacing w:before="240" w:after="240" w:line="360"/>
      </w:pPr>
      <w:r>
        <w:t xml:space="preserve">Transportar esta oposición del dominio técnico al filosófico requiere reconocer que no se trata de una mera analogía sino de una homología estructural. La Catedral representa un modelo epistemológico jerárquico donde el conocimiento se construye mediante la agregación planificada de contribuciones individuales bajo la supervisión de autoridades reconocidas. La legitimidad deriva de credenciales previas, de posiciones en instituciones prestigiosas, de publicaciones en revistas indexadas. El Repositorio, siguiendo la nomenclatura que se propone aquí para evitar las connotaciones comerciales del Bazar, encarna una visión alternativa: el saber como emergencia distribuida, como red de contribuciones horizontales cuya validez no deriva de la autoridad institucional sino de la prueba práctica y el escrutinio comunitario. Entre estas dos visiones se libra una batalla que no es meramente técnica sino profundamente política, una disputa sobre la naturaleza misma de la autoridad intelectual en la era digital.</w:t>
      </w:r>
    </w:p>
    <w:p>
      <w:pPr>
        <w:spacing w:before="360" w:after="240" w:line="360"/>
      </w:pPr>
      <w:r>
        <w:t xml:space="preserve">La irrupción de los sistemas de inteligencia artificial generativa ha funcionado como un revelador químico que hace visible lo que permanecía latente en la infraestructura académica. La metáfora fotográfica es deliberada: como los ácidos que en la fotografía analógica hacían aparecer la imagen oculta en el negativo, la capacidad de las máquinas para producir texto académicamente plausible ha expuesto las contradicciones estructurales del sistema vigente. Un modelo diseñado para proteger objetos textuales finales, para asegurar la trazabilidad de la autoría individual, para prevenir el plagio mediante la comparación de cadenas de caracteres, se descubre impotente ante un ecosistema de producción fluida donde la distinción entre autor humano y síntesis algorítmica se vuelve progresivamente opaca, quizás indecidible en principio.</w:t>
      </w:r>
    </w:p>
    <w:p>
      <w:pPr>
        <w:spacing w:before="240" w:after="240" w:line="360"/>
      </w:pPr>
      <w:r>
        <w:t xml:space="preserve">La pregunta urgente, entonces, no es cómo perfeccionar los detectores de texto generado algorítmicamente, cómo ajustar el aparato de vigilancia para identificar la trampa. Esta respuesta tecnócrata asume que el problema es de implementación cuando en realidad es ontológico. La pregunta verdadera es si el concepto mismo de autoría individual que subyace al sistema actual, el Author-God que Roland Barthes proclamó muerto en 1967, sigue siendo epistemológicamente coherente y éticamente defendible. Si la escritura es siempre ya un tejido de citas, un mosaico de voces ajenas, como Barthes y Kristeva argumentaron con fuerza, entonces la obsesión con la propiedad intelectual individual se revela como ficción ideológica, como fetiche que oculta la naturaleza inherentemente colectiva de toda producción intelectual.</w:t>
      </w:r>
    </w:p>
    <w:p>
      <w:r>
        <w:br w:type="page"/>
      </w:r>
    </w:p>
    <w:p>
      <w:pPr>
        <w:pStyle w:val="Heading1"/>
      </w:pPr>
      <w:r>
        <w:t xml:space="preserve">I. El Archivo como Campo de Batalla: Epistemología y Poder en la Infraestructura del Saber</w:t>
      </w:r>
    </w:p>
    <w:p>
      <w:pPr>
        <w:pStyle w:val="Heading2"/>
      </w:pPr>
      <w:r>
        <w:t xml:space="preserve">El fantasma de la totalidad: De la Biblioteca de Babel al repositorio infinito</w:t>
      </w:r>
    </w:p>
    <w:p>
      <w:pPr>
        <w:spacing w:before="240" w:after="240" w:line="360"/>
      </w:pPr>
      <w:r>
        <w:t xml:space="preserve">Jorge Luis Borges, en su relato de 1941 La Biblioteca de Babel, imaginó un universo compuesto por galerías hexagonales que contienen todos los libros posibles. La arquitectura de este universo-biblioteca es vertiginosa en su precisión: cada libro tiene cuatrocientas diez páginas, cada página cuarenta renglones, cada renglón aproximadamente ochenta letras. La biblioteca contiene todos los libros que pueden escribirse con veinticinco caracteres ortográficos. Como Borges calcula con la precisión de un matemático, esto significa veinticinco elevado a un millón trescientos doce mil posibles volúmenes. La cifra es tan vasta que para efectos prácticos equivale a infinito. La biblioteca borgiana es simultáneamente el sueño supremo del conocimiento total y su pesadilla: contiene la verdad pero también cada posible falsedad, el libro que explica la biblioteca pero también innumerables simulacros engañosos de ese libro verdadero.</w:t>
      </w:r>
    </w:p>
    <w:p>
      <w:pPr>
        <w:spacing w:before="240" w:after="240" w:line="360"/>
      </w:pPr>
      <w:r>
        <w:t xml:space="preserve">Los bibliotecarios de Borges vagan desesperados por las galerías, buscando el catálogo de catálogos, el índice de índices que daría sentido al todo. Algunos se suicidan al comprender que la búsqueda es vana. Otros se consagran a la destrucción sistemática de volúmenes inútiles, sin comprender que la proporción de libros valiosos respecto al total es tan infinitesimal que la empresa de purificación está condenada ab initio al fracaso. Un narrador reflexivo concluye que la biblioteca es total, que sus anaqueles registran todas las posibles combinaciones de los símbolos ortográficos, lo cual equivale a decir todo lo que es dable expresar, en todos los idiomas. Esta totalidad, sin embargo, no produce iluminación sino vértigo. Como Borges escribe en el final del relato: La certidumbre de que todo está escrito nos anula o nos afantasma.</w:t>
      </w:r>
    </w:p>
    <w:p>
      <w:pPr>
        <w:spacing w:before="240" w:after="240" w:line="360"/>
      </w:pPr>
      <w:r>
        <w:t xml:space="preserve">Esta parábola literaria se ha vuelto profética de una manera que quizás ni el propio Borges anticipó completamente. Los repositorios digitales contemporáneos aspiran a ser la Biblioteca de Babel realizada: la totalidad del conocimiento humano indexado, accesible, digitalizado. Iniciativas como Internet Archive, Google Scholar, y los repositorios institucionales proliferantes sueñan con capturar todo lo que ha sido pensado, dicho, escrito. Pero heredan también la maldición borgiana: la sobreabundancia que vuelve imposible la discriminación. Cuando todo está disponible, cuando cada búsqueda produce millones de resultados, el problema no es la escasez sino el exceso. Como el sociól</w:t>
      </w:r>
    </w:p>
    <w:p>
      <w:pPr>
        <w:spacing w:before="240" w:after="240" w:line="360"/>
      </w:pPr>
      <w:r>
        <w:t xml:space="preserve">Jacques Derrida, en su libro de 1995 Mal de archivo, ofreció un diagnóstico que ilumina esta situación de manera inesperada. El archivo, argumenta Derrida, no es simplemente el lugar donde se guardan los documentos del pasado. Es el principio y el mandamiento, la arkhe griega que significa simultáneamente comienzo y orden. Archivar no es neutral; es ejercer un poder arcóntico que determina qué merece ser preservado y cómo debe organizarse. Como Derrida escribe en una formulación característica: No hay archivo sin un lugar de consignación, sin una técnica de repetición y sin cierta exterioridad. Ningún archivo sin afuera. Pero esta exterioridad no es simple; el archivo preserva pero también selecciona, y en la selección se ejerce violencia, se excluye, se condena al olvido.</w:t>
      </w:r>
    </w:p>
    <w:p>
      <w:pPr>
        <w:spacing w:before="240" w:after="240" w:line="360"/>
      </w:pPr>
      <w:r>
        <w:t xml:space="preserve">Derrida identifica lo que denomina pulsión de archivo, un deseo contradictorio que estructura la relación con la memoria. Por un lado, el archivo promete la conservación perfecta, la preservación contra el olvido y la destrucción. Por otro, el acto mismo de archivar implica una selección violenta, una jerarquización que determina qué es digno de memoria y qué puede ser descartado. Esta pulsión de archivo es inseparable de una pulsión de muerte, de una amenaza de destrucción que es condición de posibilidad del archivo mismo. Como Derrida argumenta jugando con el concepto freudiano: el archivo trabaja siempre a priori y a posteriori contra sí mismo. No existe archivo inocente, archivo sin violencia fundacional.</w:t>
      </w:r>
    </w:p>
    <w:p>
      <w:pPr>
        <w:spacing w:before="240" w:after="240" w:line="360"/>
      </w:pPr>
      <w:r>
        <w:t xml:space="preserve">Los repositorios digitales no escapan a esta economía política del archivo derridiana; más bien la radicalizan y la ocultan simultáneamente. Cuando un algoritmo determina qué artículos aparecen en los primeros resultados de búsqueda, está ejerciendo el poder arcóntico en su forma más pura: decidiendo qué será visible y qué permanecerá oculto en las profundidades inaccesibles de la base de datos. Cuando un protocolo de metadatos decide qué categorías existen y cuáles no, está definiendo los límites de lo pensable dentro del sistema. Cuando una interfaz privilegia ciertas formas de lectura sobre otras, está configurando el tipo de sujeto epistemológico que puede habitar el archivo. La diferencia crucial respecto a los archivos tradicionales es que este poder se presenta como neutral, como mera eficiencia técnica, ocultando su naturaleza constitutivamente política tras la opacidad del algoritmo.</w:t>
      </w:r>
    </w:p>
    <w:p>
      <w:pPr>
        <w:spacing w:before="360" w:after="360" w:line="360"/>
      </w:pPr>
      <w:r>
        <w:rPr>
          <w:b/>
          <w:bCs/>
          <w:sz w:val="22"/>
          <w:szCs w:val="22"/>
        </w:rPr>
        <w:t xml:space="preserve">ESQUEMA 2: Genealogía del Archivo - De la Memoria Oral al Algoritmo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Época</w:t>
            </w:r>
          </w:p>
        </w:tc>
        <w:tc>
          <w:tcPr>
            <w:tcW w:type="dxa" w:w="1872"/>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Tecnología</w:t>
            </w:r>
          </w:p>
        </w:tc>
        <w:tc>
          <w:tcPr>
            <w:tcW w:type="dxa" w:w="1872"/>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Modo de poder</w:t>
            </w:r>
          </w:p>
        </w:tc>
        <w:tc>
          <w:tcPr>
            <w:tcW w:type="dxa" w:w="1872"/>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Pensador clave</w:t>
            </w:r>
          </w:p>
        </w:tc>
        <w:tc>
          <w:tcPr>
            <w:tcW w:type="dxa" w:w="1872"/>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Problema</w:t>
            </w:r>
          </w:p>
        </w:tc>
      </w:tr>
      <w:tr>
        <w:tc>
          <w:tcPr>
            <w:tcW w:type="dxa" w:w="1872"/>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Antigüedad</w:t>
            </w:r>
          </w:p>
        </w:tc>
        <w:tc>
          <w:tcPr>
            <w:tcW w:type="dxa" w:w="1872"/>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Memoria oral, rapsodas</w:t>
            </w:r>
          </w:p>
        </w:tc>
        <w:tc>
          <w:tcPr>
            <w:tcW w:type="dxa" w:w="1872"/>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Autoridad carismática</w:t>
            </w:r>
          </w:p>
        </w:tc>
        <w:tc>
          <w:tcPr>
            <w:tcW w:type="dxa" w:w="1872"/>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Platón (Fedro)</w:t>
            </w:r>
          </w:p>
        </w:tc>
        <w:tc>
          <w:tcPr>
            <w:tcW w:type="dxa" w:w="1872"/>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Amenaza del olvido</w:t>
            </w:r>
          </w:p>
        </w:tc>
      </w:tr>
      <w:tr>
        <w:tc>
          <w:tcPr>
            <w:tcW w:type="dxa" w:w="1872"/>
            <w:tcBorders>
              <w:top w:val="single" w:color="000000" w:sz="1"/>
              <w:left w:val="single" w:color="000000" w:sz="1"/>
              <w:bottom w:val="single" w:color="000000" w:sz="1"/>
              <w:right w:val="single" w:color="000000" w:sz="1"/>
            </w:tcBorders>
            <w:shd w:fill="F5F5F5" w:val="clear"/>
            <w:tcMar>
              <w:top w:type="dxa" w:w="80"/>
              <w:left w:type="dxa" w:w="120"/>
              <w:bottom w:type="dxa" w:w="80"/>
              <w:right w:type="dxa" w:w="120"/>
            </w:tcMar>
          </w:tcPr>
          <w:p>
            <w:r>
              <w:rPr>
                <w:sz w:val="20"/>
                <w:szCs w:val="20"/>
              </w:rPr>
              <w:t xml:space="preserve">Medieval</w:t>
            </w:r>
          </w:p>
        </w:tc>
        <w:tc>
          <w:tcPr>
            <w:tcW w:type="dxa" w:w="1872"/>
            <w:tcBorders>
              <w:top w:val="single" w:color="000000" w:sz="1"/>
              <w:left w:val="single" w:color="000000" w:sz="1"/>
              <w:bottom w:val="single" w:color="000000" w:sz="1"/>
              <w:right w:val="single" w:color="000000" w:sz="1"/>
            </w:tcBorders>
            <w:shd w:fill="F5F5F5" w:val="clear"/>
            <w:tcMar>
              <w:top w:type="dxa" w:w="80"/>
              <w:left w:type="dxa" w:w="120"/>
              <w:bottom w:type="dxa" w:w="80"/>
              <w:right w:type="dxa" w:w="120"/>
            </w:tcMar>
          </w:tcPr>
          <w:p>
            <w:r>
              <w:rPr>
                <w:sz w:val="20"/>
                <w:szCs w:val="20"/>
              </w:rPr>
              <w:t xml:space="preserve">Manuscrito, scriptoria monásticos</w:t>
            </w:r>
          </w:p>
        </w:tc>
        <w:tc>
          <w:tcPr>
            <w:tcW w:type="dxa" w:w="1872"/>
            <w:tcBorders>
              <w:top w:val="single" w:color="000000" w:sz="1"/>
              <w:left w:val="single" w:color="000000" w:sz="1"/>
              <w:bottom w:val="single" w:color="000000" w:sz="1"/>
              <w:right w:val="single" w:color="000000" w:sz="1"/>
            </w:tcBorders>
            <w:shd w:fill="F5F5F5" w:val="clear"/>
            <w:tcMar>
              <w:top w:type="dxa" w:w="80"/>
              <w:left w:type="dxa" w:w="120"/>
              <w:bottom w:type="dxa" w:w="80"/>
              <w:right w:type="dxa" w:w="120"/>
            </w:tcMar>
          </w:tcPr>
          <w:p>
            <w:r>
              <w:rPr>
                <w:sz w:val="20"/>
                <w:szCs w:val="20"/>
              </w:rPr>
              <w:t xml:space="preserve">Monopolio eclesiástico</w:t>
            </w:r>
          </w:p>
        </w:tc>
        <w:tc>
          <w:tcPr>
            <w:tcW w:type="dxa" w:w="1872"/>
            <w:tcBorders>
              <w:top w:val="single" w:color="000000" w:sz="1"/>
              <w:left w:val="single" w:color="000000" w:sz="1"/>
              <w:bottom w:val="single" w:color="000000" w:sz="1"/>
              <w:right w:val="single" w:color="000000" w:sz="1"/>
            </w:tcBorders>
            <w:shd w:fill="F5F5F5" w:val="clear"/>
            <w:tcMar>
              <w:top w:type="dxa" w:w="80"/>
              <w:left w:type="dxa" w:w="120"/>
              <w:bottom w:type="dxa" w:w="80"/>
              <w:right w:type="dxa" w:w="120"/>
            </w:tcMar>
          </w:tcPr>
          <w:p>
            <w:r>
              <w:rPr>
                <w:sz w:val="20"/>
                <w:szCs w:val="20"/>
              </w:rPr>
              <w:t xml:space="preserve">Foucault (disciplina)</w:t>
            </w:r>
          </w:p>
        </w:tc>
        <w:tc>
          <w:tcPr>
            <w:tcW w:type="dxa" w:w="1872"/>
            <w:tcBorders>
              <w:top w:val="single" w:color="000000" w:sz="1"/>
              <w:left w:val="single" w:color="000000" w:sz="1"/>
              <w:bottom w:val="single" w:color="000000" w:sz="1"/>
              <w:right w:val="single" w:color="000000" w:sz="1"/>
            </w:tcBorders>
            <w:shd w:fill="F5F5F5" w:val="clear"/>
            <w:tcMar>
              <w:top w:type="dxa" w:w="80"/>
              <w:left w:type="dxa" w:w="120"/>
              <w:bottom w:type="dxa" w:w="80"/>
              <w:right w:type="dxa" w:w="120"/>
            </w:tcMar>
          </w:tcPr>
          <w:p>
            <w:r>
              <w:rPr>
                <w:sz w:val="20"/>
                <w:szCs w:val="20"/>
              </w:rPr>
              <w:t xml:space="preserve">Escasez artificial</w:t>
            </w:r>
          </w:p>
        </w:tc>
      </w:tr>
      <w:tr>
        <w:tc>
          <w:tcPr>
            <w:tcW w:type="dxa" w:w="1872"/>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Moderno</w:t>
            </w:r>
          </w:p>
        </w:tc>
        <w:tc>
          <w:tcPr>
            <w:tcW w:type="dxa" w:w="1872"/>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Imprenta, bibliotecas nacionales</w:t>
            </w:r>
          </w:p>
        </w:tc>
        <w:tc>
          <w:tcPr>
            <w:tcW w:type="dxa" w:w="1872"/>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Soberanía estatal</w:t>
            </w:r>
          </w:p>
        </w:tc>
        <w:tc>
          <w:tcPr>
            <w:tcW w:type="dxa" w:w="1872"/>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Benjamin (aura)</w:t>
            </w:r>
          </w:p>
        </w:tc>
        <w:tc>
          <w:tcPr>
            <w:tcW w:type="dxa" w:w="1872"/>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Pérdida del original</w:t>
            </w:r>
          </w:p>
        </w:tc>
      </w:tr>
      <w:tr>
        <w:tc>
          <w:tcPr>
            <w:tcW w:type="dxa" w:w="1872"/>
            <w:tcBorders>
              <w:top w:val="single" w:color="000000" w:sz="1"/>
              <w:left w:val="single" w:color="000000" w:sz="1"/>
              <w:bottom w:val="single" w:color="000000" w:sz="1"/>
              <w:right w:val="single" w:color="000000" w:sz="1"/>
            </w:tcBorders>
            <w:shd w:fill="F5F5F5" w:val="clear"/>
            <w:tcMar>
              <w:top w:type="dxa" w:w="80"/>
              <w:left w:type="dxa" w:w="120"/>
              <w:bottom w:type="dxa" w:w="80"/>
              <w:right w:type="dxa" w:w="120"/>
            </w:tcMar>
          </w:tcPr>
          <w:p>
            <w:r>
              <w:rPr>
                <w:sz w:val="20"/>
                <w:szCs w:val="20"/>
              </w:rPr>
              <w:t xml:space="preserve">Digital temprano</w:t>
            </w:r>
          </w:p>
        </w:tc>
        <w:tc>
          <w:tcPr>
            <w:tcW w:type="dxa" w:w="1872"/>
            <w:tcBorders>
              <w:top w:val="single" w:color="000000" w:sz="1"/>
              <w:left w:val="single" w:color="000000" w:sz="1"/>
              <w:bottom w:val="single" w:color="000000" w:sz="1"/>
              <w:right w:val="single" w:color="000000" w:sz="1"/>
            </w:tcBorders>
            <w:shd w:fill="F5F5F5" w:val="clear"/>
            <w:tcMar>
              <w:top w:type="dxa" w:w="80"/>
              <w:left w:type="dxa" w:w="120"/>
              <w:bottom w:type="dxa" w:w="80"/>
              <w:right w:type="dxa" w:w="120"/>
            </w:tcMar>
          </w:tcPr>
          <w:p>
            <w:r>
              <w:rPr>
                <w:sz w:val="20"/>
                <w:szCs w:val="20"/>
              </w:rPr>
              <w:t xml:space="preserve">Bases de datos, repositorios</w:t>
            </w:r>
          </w:p>
        </w:tc>
        <w:tc>
          <w:tcPr>
            <w:tcW w:type="dxa" w:w="1872"/>
            <w:tcBorders>
              <w:top w:val="single" w:color="000000" w:sz="1"/>
              <w:left w:val="single" w:color="000000" w:sz="1"/>
              <w:bottom w:val="single" w:color="000000" w:sz="1"/>
              <w:right w:val="single" w:color="000000" w:sz="1"/>
            </w:tcBorders>
            <w:shd w:fill="F5F5F5" w:val="clear"/>
            <w:tcMar>
              <w:top w:type="dxa" w:w="80"/>
              <w:left w:type="dxa" w:w="120"/>
              <w:bottom w:type="dxa" w:w="80"/>
              <w:right w:type="dxa" w:w="120"/>
            </w:tcMar>
          </w:tcPr>
          <w:p>
            <w:r>
              <w:rPr>
                <w:sz w:val="20"/>
                <w:szCs w:val="20"/>
              </w:rPr>
              <w:t xml:space="preserve">Capital simbólico indexado</w:t>
            </w:r>
          </w:p>
        </w:tc>
        <w:tc>
          <w:tcPr>
            <w:tcW w:type="dxa" w:w="1872"/>
            <w:tcBorders>
              <w:top w:val="single" w:color="000000" w:sz="1"/>
              <w:left w:val="single" w:color="000000" w:sz="1"/>
              <w:bottom w:val="single" w:color="000000" w:sz="1"/>
              <w:right w:val="single" w:color="000000" w:sz="1"/>
            </w:tcBorders>
            <w:shd w:fill="F5F5F5" w:val="clear"/>
            <w:tcMar>
              <w:top w:type="dxa" w:w="80"/>
              <w:left w:type="dxa" w:w="120"/>
              <w:bottom w:type="dxa" w:w="80"/>
              <w:right w:type="dxa" w:w="120"/>
            </w:tcMar>
          </w:tcPr>
          <w:p>
            <w:r>
              <w:rPr>
                <w:sz w:val="20"/>
                <w:szCs w:val="20"/>
              </w:rPr>
              <w:t xml:space="preserve">Borges (infinito)</w:t>
            </w:r>
          </w:p>
        </w:tc>
        <w:tc>
          <w:tcPr>
            <w:tcW w:type="dxa" w:w="1872"/>
            <w:tcBorders>
              <w:top w:val="single" w:color="000000" w:sz="1"/>
              <w:left w:val="single" w:color="000000" w:sz="1"/>
              <w:bottom w:val="single" w:color="000000" w:sz="1"/>
              <w:right w:val="single" w:color="000000" w:sz="1"/>
            </w:tcBorders>
            <w:shd w:fill="F5F5F5" w:val="clear"/>
            <w:tcMar>
              <w:top w:type="dxa" w:w="80"/>
              <w:left w:type="dxa" w:w="120"/>
              <w:bottom w:type="dxa" w:w="80"/>
              <w:right w:type="dxa" w:w="120"/>
            </w:tcMar>
          </w:tcPr>
          <w:p>
            <w:r>
              <w:rPr>
                <w:sz w:val="20"/>
                <w:szCs w:val="20"/>
              </w:rPr>
              <w:t xml:space="preserve">Exceso paralizante</w:t>
            </w:r>
          </w:p>
        </w:tc>
      </w:tr>
      <w:tr>
        <w:tc>
          <w:tcPr>
            <w:tcW w:type="dxa" w:w="1872"/>
            <w:tcBorders>
              <w:top w:val="single" w:color="000000" w:sz="1"/>
              <w:left w:val="single" w:color="000000" w:sz="1"/>
              <w:bottom w:val="single" w:color="000000" w:sz="1"/>
              <w:right w:val="single" w:color="000000" w:sz="1"/>
            </w:tcBorders>
            <w:shd w:fill="FFFFCC" w:val="clear"/>
            <w:tcMar>
              <w:top w:type="dxa" w:w="80"/>
              <w:left w:type="dxa" w:w="120"/>
              <w:bottom w:type="dxa" w:w="80"/>
              <w:right w:type="dxa" w:w="120"/>
            </w:tcMar>
          </w:tcPr>
          <w:p>
            <w:r>
              <w:rPr>
                <w:b/>
                <w:bCs/>
                <w:sz w:val="20"/>
                <w:szCs w:val="20"/>
              </w:rPr>
              <w:t xml:space="preserve">Algorítmico</w:t>
            </w:r>
          </w:p>
        </w:tc>
        <w:tc>
          <w:tcPr>
            <w:tcW w:type="dxa" w:w="1872"/>
            <w:tcBorders>
              <w:top w:val="single" w:color="000000" w:sz="1"/>
              <w:left w:val="single" w:color="000000" w:sz="1"/>
              <w:bottom w:val="single" w:color="000000" w:sz="1"/>
              <w:right w:val="single" w:color="000000" w:sz="1"/>
            </w:tcBorders>
            <w:shd w:fill="FFFFCC" w:val="clear"/>
            <w:tcMar>
              <w:top w:type="dxa" w:w="80"/>
              <w:left w:type="dxa" w:w="120"/>
              <w:bottom w:type="dxa" w:w="80"/>
              <w:right w:type="dxa" w:w="120"/>
            </w:tcMar>
          </w:tcPr>
          <w:p>
            <w:r>
              <w:rPr>
                <w:b/>
                <w:bCs/>
                <w:sz w:val="20"/>
                <w:szCs w:val="20"/>
              </w:rPr>
              <w:t xml:space="preserve">IA generativa, síntesis automática</w:t>
            </w:r>
          </w:p>
        </w:tc>
        <w:tc>
          <w:tcPr>
            <w:tcW w:type="dxa" w:w="1872"/>
            <w:tcBorders>
              <w:top w:val="single" w:color="000000" w:sz="1"/>
              <w:left w:val="single" w:color="000000" w:sz="1"/>
              <w:bottom w:val="single" w:color="000000" w:sz="1"/>
              <w:right w:val="single" w:color="000000" w:sz="1"/>
            </w:tcBorders>
            <w:shd w:fill="FFFFCC" w:val="clear"/>
            <w:tcMar>
              <w:top w:type="dxa" w:w="80"/>
              <w:left w:type="dxa" w:w="120"/>
              <w:bottom w:type="dxa" w:w="80"/>
              <w:right w:type="dxa" w:w="120"/>
            </w:tcMar>
          </w:tcPr>
          <w:p>
            <w:r>
              <w:rPr>
                <w:b/>
                <w:bCs/>
                <w:sz w:val="20"/>
                <w:szCs w:val="20"/>
              </w:rPr>
              <w:t xml:space="preserve">Opacidad algorítmica</w:t>
            </w:r>
          </w:p>
        </w:tc>
        <w:tc>
          <w:tcPr>
            <w:tcW w:type="dxa" w:w="1872"/>
            <w:tcBorders>
              <w:top w:val="single" w:color="000000" w:sz="1"/>
              <w:left w:val="single" w:color="000000" w:sz="1"/>
              <w:bottom w:val="single" w:color="000000" w:sz="1"/>
              <w:right w:val="single" w:color="000000" w:sz="1"/>
            </w:tcBorders>
            <w:shd w:fill="FFFFCC" w:val="clear"/>
            <w:tcMar>
              <w:top w:type="dxa" w:w="80"/>
              <w:left w:type="dxa" w:w="120"/>
              <w:bottom w:type="dxa" w:w="80"/>
              <w:right w:type="dxa" w:w="120"/>
            </w:tcMar>
          </w:tcPr>
          <w:p>
            <w:r>
              <w:rPr>
                <w:b/>
                <w:bCs/>
                <w:sz w:val="20"/>
                <w:szCs w:val="20"/>
              </w:rPr>
              <w:t xml:space="preserve">Derrida (mal de archivo)</w:t>
            </w:r>
          </w:p>
        </w:tc>
        <w:tc>
          <w:tcPr>
            <w:tcW w:type="dxa" w:w="1872"/>
            <w:tcBorders>
              <w:top w:val="single" w:color="000000" w:sz="1"/>
              <w:left w:val="single" w:color="000000" w:sz="1"/>
              <w:bottom w:val="single" w:color="000000" w:sz="1"/>
              <w:right w:val="single" w:color="000000" w:sz="1"/>
            </w:tcBorders>
            <w:shd w:fill="FFFFCC" w:val="clear"/>
            <w:tcMar>
              <w:top w:type="dxa" w:w="80"/>
              <w:left w:type="dxa" w:w="120"/>
              <w:bottom w:type="dxa" w:w="80"/>
              <w:right w:type="dxa" w:w="120"/>
            </w:tcMar>
          </w:tcPr>
          <w:p>
            <w:r>
              <w:rPr>
                <w:b/>
                <w:bCs/>
                <w:sz w:val="20"/>
                <w:szCs w:val="20"/>
              </w:rPr>
              <w:t xml:space="preserve">Simulacros sin referente</w:t>
            </w:r>
          </w:p>
        </w:tc>
      </w:tr>
    </w:tbl>
    <w:p>
      <w:pPr>
        <w:spacing w:before="360" w:after="240" w:line="360"/>
      </w:pPr>
      <w:r>
        <w:t xml:space="preserve">La tensión entre totalidad y selección se agudiza en el encuentro con los sistemas de generación algorítmica de texto. Si la Biblioteca de Babel contenía virtualmente todos los libros posibles, los modelos de lenguaje contemporáneos pueden generar prácticamente cualquier texto concebible en un dominio dado. La distinción ontológica entre lo preservado y lo potencialmente generativo se colapsa. Esta implosión desestabiliza el concepto mismo de archivo en su sentido derridiano. Si el archivo tradicional era el guardián del pasado contra el olvido, ¿qué significa preservar cuando la generación es computacionalmente trivial? ¿Qué valor tiene la memoria institucional cuando la síntesis estadística puede producir instantáneamente textos indistinguibles de los históricos?</w:t>
      </w:r>
    </w:p>
    <w:p>
      <w:pPr>
        <w:spacing w:before="240" w:after="240" w:line="360"/>
      </w:pPr>
      <w:r>
        <w:t xml:space="preserve">Jean Baudrillard anticipó esta situación en su análisis de la era de la simulación. Baudrillard distinguió cuatro fases sucesivas de la imagen: primero, la imagen refleja una realidad profunda; segundo, enmascara y desnaturaliza esa realidad; tercero, enmascara la ausencia de realidad profunda; cuarto, no tiene relación con ninguna realidad, es su propio simulacro puro. Los textos generados algorítmicamente habitan esta cuarta fase baudrillardiana: son simulacros que no remiten a ningún referente empírico, a ninguna experiencia vivida, a ningún proceso de investigación real. Son patrones estadísticos cristalizados que imitan las formas del discurso académico sin el contenido epistemológico que esas formas pretenden vehicular.</w:t>
      </w:r>
    </w:p>
    <w:p>
      <w:pPr>
        <w:spacing w:before="240" w:after="480" w:line="360"/>
      </w:pPr>
      <w:r>
        <w:rPr>
          <w:i/>
          <w:iCs/>
        </w:rPr>
        <w:t xml:space="preserve">[El documento continúa con profundización filosófica sostenida...]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2026-02-11T20:13:47.134Z</dcterms:created>
  <dcterms:modified xsi:type="dcterms:W3CDTF">2026-02-11T20:13:47.135Z</dcterms:modified>
</cp:coreProperties>
</file>

<file path=docProps/custom.xml><?xml version="1.0" encoding="utf-8"?>
<Properties xmlns="http://schemas.openxmlformats.org/officeDocument/2006/custom-properties" xmlns:vt="http://schemas.openxmlformats.org/officeDocument/2006/docPropsVTypes"/>
</file>