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jc w:val="center"/>
        <w:rPr>
          <w:rFonts w:ascii="Times New Roman" w:cs="Times New Roman" w:eastAsia="Times New Roman" w:hAnsi="Times New Roman"/>
          <w:b w:val="1"/>
          <w:bCs w:val="1"/>
          <w:color w:val="1b1c1d"/>
          <w:sz w:val="26"/>
          <w:szCs w:val="26"/>
        </w:rPr>
      </w:pPr>
      <w:bookmarkStart w:colFirst="0" w:colLast="0" w:name="_zf1ip32np8dz" w:id="0"/>
      <w:bookmarkEnd w:id="0"/>
      <w:r w:rsidDel="00000000" w:rsidR="00000000" w:rsidRPr="00000000">
        <w:rPr>
          <w:rFonts w:ascii="Times New Roman" w:cs="Times New Roman" w:eastAsia="Times New Roman" w:hAnsi="Times New Roman"/>
          <w:b w:val="1"/>
          <w:bCs w:val="1"/>
          <w:color w:val="1b1c1d"/>
          <w:sz w:val="26"/>
          <w:szCs w:val="26"/>
          <w:rtl w:val="0"/>
        </w:rPr>
        <w:t xml:space="preserve">La Catedral y el Repositorio: Deconstruyendo el Modelo de Autoría Académica desde la Filosofía del Código Abierto</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academia contemporánea atraviesa una profunda crisis de legitimidad. No se trata de una fisura superficial, sino de una falla tectónica que recorre sus fundamentos filosóficos, sus estructuras económicas y sus prácticas de validación. Esta investigación sostiene que el modelo hegemónico de producción de conocimiento se ha vuelto epistemológicamente anacrónico, éticamente insostenible y tecnológicamente obsoleto. La irrupción de la inteligencia artificial generativa no ha creado esta crisis, simplemente ha arrojado una luz implacable sobre sus contradicciones preexistentes.</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4"/>
          <w:szCs w:val="24"/>
          <w:rtl w:val="0"/>
        </w:rPr>
        <w:t xml:space="preserve">Frente a este panorama, esta tesis se articula como una deconstrucción filosófica y una propuesta reconstructiva. En lugar de abordar la totalidad de esta crisis de manera abstracta, se enfoca en el lugar donde sus tensiones se materializan de forma más evidente: la arquitectura de los repositorios y plataformas de publicación académica. Argumento que estas infraestructuras digitales no son contenedores neutrales de información, sino la encarnación de una ideología específica sobre qué es el conocimiento, quién puede crearlo y a quién le pertenece. Al analizar la arquitectura de la Catedral, podemos diagnosticar la enfermedad del sistema en su conjunto. Al explorar un modelo alternativo, podemos empezar a imaginar un horizonte más robusto y ético para la academia del siglo XXI.</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investigación aborda las tensiones actuales en la producción, circulación y legitimación del conocimiento académico. Para ello, se establece un diálogo interdisciplinario entre varias tradiciones críticas que, en conjunto, ofrecen un robusto marco analítico.</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Justificación</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arquitectura de los repositorios académicos, lejos de ser una infraestructura neutral, funciona como un campo de tensión donde se materializan las crisis de la ciencia contemporánea. Epistemológicamente, su diseño a menudo contradice la visión post-positivista del conocimiento como un proceso dinámico y contestado (Kuhn, 1962), al priorizar el producto final sobre el proceso y reforzar un modelo de acumulación lineal ya superado. Sociológicamente, estos espacios digitales operan como un "campo" de lucha por el capital simbólico (Bourdieu, 1975), donde métricas, protocolos y metadatos actúan como actores no-humanos (Latour, 2005) que distribuyen poder y validan jerarquías. De este modo, la infraestructura misma inscribe una política del conocimiento, definiendo qué es visible, legítimo y valioso, convirtiendo una herramienta de acceso en un mecanismo de control y clasificación.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tensión se agudiza en la dimensión económica, donde el ideal del repositorio como un "procomún intelectual" choca frontalmente con la lógica del "capitalismo académico" (Slaughter &amp; Leslie, 1997), que amenaza con un nuevo cercamiento de la conoscenza (Boyle, 2008). Frente a este modelo de mercantilización, emerge una visión alternativa inspirada en la "producción entre pares" (Benkler, 2006) y la "ética hacker" (Himanen, 2001), que aboga por sistemas basados en la transparencia, la colaboración y la libertad de compartir y modificar (Stallman, 1985). Por consiguiente, el diseño de un repositorio trasciende la decisión técnica para convertirse en un acto político fundamental: una elección entre perpetuar las estructuras de poder existentes o construir una infraestructura para una ciencia radicalmente abierta y colaborativa.</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En lugar de examinar estas problemáticas de forma aislada, este estudio las operacionaliza a través de un objeto de análisis específico: la arquitectura de los repositorios académicos. Al enfocar la atención en sus componentes observables —interfaces, protocolos, licencias y formatos—, el repositorio es tratado como un artefacto sociotécnico. De este modo, se convierte en el microcosmos donde las grandes crisis epistemológicas y políticas de la academia contemporánea se materializan y pueden ser rigurosamente investigadas.</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b w:val="1"/>
          <w:bCs w:val="1"/>
          <w:color w:val="1b1c1d"/>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Planteamiento del Problema: </w:t>
      </w:r>
    </w:p>
    <w:p w:rsidR="00000000" w:rsidDel="00000000" w:rsidP="00000000" w:rsidRDefault="00000000" w:rsidRPr="00000000" w14:paraId="0000000A">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566.9291338582677"/>
        <w:jc w:val="both"/>
        <w:rPr>
          <w:rFonts w:ascii="Times New Roman" w:cs="Times New Roman" w:eastAsia="Times New Roman" w:hAnsi="Times New Roman"/>
          <w:color w:val="1b1c1d"/>
          <w:sz w:val="24"/>
          <w:szCs w:val="24"/>
        </w:rPr>
      </w:pPr>
      <w:bookmarkStart w:colFirst="0" w:colLast="0" w:name="_t58wpdn55h12" w:id="1"/>
      <w:bookmarkEnd w:id="1"/>
      <w:r w:rsidDel="00000000" w:rsidR="00000000" w:rsidRPr="00000000">
        <w:rPr>
          <w:rFonts w:ascii="Times New Roman" w:cs="Times New Roman" w:eastAsia="Times New Roman" w:hAnsi="Times New Roman"/>
          <w:color w:val="1b1c1d"/>
          <w:sz w:val="24"/>
          <w:szCs w:val="24"/>
          <w:rtl w:val="0"/>
        </w:rPr>
        <w:t xml:space="preserve">El sistema académico contemporáneo opera bajo una contradicción estructural: mientras su ethos público exalta la colaboración, sus mecanismos de validación y recompensa inducen una competencia feroz por el capital simbólico. Esta tensión no es una mera "disonancia cognitiva", sino la lógica operativa de lo que Pierre Bourdieu denominó un "campo" científico, una arena donde los agentes luchan por la legitimidad y el reconocimiento (Bourdieu, 1975). El problema que nos ocupa es cómo la infraestructura digital académica —lejos de ser neutral— codifica y exacerba esta contradicción. Los repositorios y plataformas actuales son la materialización arquitectónica de la filosofía de la Catedral, fundamentada en:</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El "paper" en formato PDF se consagra como un objeto final, despojado de su proceso de producción. Esta reificación del conocimiento ignora lo que Bruno Latour nos enseñó a ver: que la ciencia es un proceso en acción, una red heterogénea de inscripciones, negociaciones y controversias. La plataforma digital presenta el conocimiento como un hecho descubierto, no como un artefacto construido (Latour, 1987), perpetuando así un modelo epistemológico que la filosofía de la ciencia, desde la falsabilidad de Karl Popper (1934) hasta los paradigmas de Thomas Kuhn (1962), ha deconstruido sistemáticamente.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Las grandes editoriales comerciales han establecido lo que Sheila Slaughter y Larry Leslie bautizaron como "capitalismo académico" (1997), un régimen donde las lógicas de mercado se infiltran en el corazón de la universidad. En este sistema, el conocimiento, a menudo financiado públicamente, es privatizado y convertido en una mercancía artificialmente escasa. Asistimos a lo que James Boyle, en su análisis de la propiedad intelectual, llamó un "segundo movimiento de cercamiento" (</w:t>
      </w:r>
      <w:r w:rsidDel="00000000" w:rsidR="00000000" w:rsidRPr="00000000">
        <w:rPr>
          <w:rFonts w:ascii="Times New Roman" w:cs="Times New Roman" w:eastAsia="Times New Roman" w:hAnsi="Times New Roman"/>
          <w:i w:val="1"/>
          <w:iCs w:val="1"/>
          <w:color w:val="1b1c1d"/>
          <w:sz w:val="24"/>
          <w:szCs w:val="24"/>
          <w:rtl w:val="0"/>
        </w:rPr>
        <w:t xml:space="preserve">The Second Enclosure Movement</w:t>
      </w:r>
      <w:r w:rsidDel="00000000" w:rsidR="00000000" w:rsidRPr="00000000">
        <w:rPr>
          <w:rFonts w:ascii="Times New Roman" w:cs="Times New Roman" w:eastAsia="Times New Roman" w:hAnsi="Times New Roman"/>
          <w:color w:val="1b1c1d"/>
          <w:sz w:val="24"/>
          <w:szCs w:val="24"/>
          <w:rtl w:val="0"/>
        </w:rPr>
        <w:t xml:space="preserve">), donde el procomún intelectual es amurallado mediante barreras de pago y la expropiación de derechos de autor (Boyle, 2003).</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La Fetichización de la Autoría. El sistema actual se ancla en una figura que Roland Barthes proclamó muerta en 1967: el "Autor" diosificado, un individuo soberano. Esta concepción romántica ignora la naturaleza intrínsecamente dialógica e intertextual de toda producción intelectual, una idea que Julia Kristeva desarrolló al afirmar que todo texto es un "mosaico de citas" (1980). Al insistir en un modelo de propiedad que bebe directamente de la teoría de la apropiación por el trabajo de John Locke (1689), el sistema convierte la firma en una unidad de capital curricular. El resultado es un régimen de evaluación performativa que, como advirtió la antropóloga Marilyn Strathern, genera una "tiranía de la transparencia" donde las métricas y las apariencias ahogan el propósito original de la investigación (2000).</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irrupción de la IA generativa no es la causa de la crisis, sino un evento que revela la obsolescencia de esta arquitectura. Un sistema diseñado para proteger objetos finales es incapaz de gobernar un ecosistema de producción textual fluida. La pregunta urgente es, por tanto: ¿cómo diseñar una infraestructura digital que se fundamente no en la escasez, sino en la "producción entre pares" (</w:t>
      </w:r>
      <w:r w:rsidDel="00000000" w:rsidR="00000000" w:rsidRPr="00000000">
        <w:rPr>
          <w:rFonts w:ascii="Times New Roman" w:cs="Times New Roman" w:eastAsia="Times New Roman" w:hAnsi="Times New Roman"/>
          <w:i w:val="1"/>
          <w:iCs w:val="1"/>
          <w:color w:val="1b1c1d"/>
          <w:sz w:val="24"/>
          <w:szCs w:val="24"/>
          <w:rtl w:val="0"/>
        </w:rPr>
        <w:t xml:space="preserve">peer production</w:t>
      </w:r>
      <w:r w:rsidDel="00000000" w:rsidR="00000000" w:rsidRPr="00000000">
        <w:rPr>
          <w:rFonts w:ascii="Times New Roman" w:cs="Times New Roman" w:eastAsia="Times New Roman" w:hAnsi="Times New Roman"/>
          <w:color w:val="1b1c1d"/>
          <w:sz w:val="24"/>
          <w:szCs w:val="24"/>
          <w:rtl w:val="0"/>
        </w:rPr>
        <w:t xml:space="preserve">), el modelo de creación de valor colaborativo que Yochai Benkler identificó como la fuerza transformadora de la era digital? (Benkler, 2006).</w:t>
      </w:r>
    </w:p>
    <w:p w:rsidR="00000000" w:rsidDel="00000000" w:rsidP="00000000" w:rsidRDefault="00000000" w:rsidRPr="00000000" w14:paraId="0000000F">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566.9291338582677"/>
        <w:jc w:val="both"/>
        <w:rPr>
          <w:rFonts w:ascii="Times New Roman" w:cs="Times New Roman" w:eastAsia="Times New Roman" w:hAnsi="Times New Roman"/>
          <w:b w:val="1"/>
          <w:bCs w:val="1"/>
          <w:color w:val="1b1c1d"/>
          <w:sz w:val="24"/>
          <w:szCs w:val="24"/>
        </w:rPr>
      </w:pPr>
      <w:bookmarkStart w:colFirst="0" w:colLast="0" w:name="_8z0nqatalfo7" w:id="2"/>
      <w:bookmarkEnd w:id="2"/>
      <w:r w:rsidDel="00000000" w:rsidR="00000000" w:rsidRPr="00000000">
        <w:rPr>
          <w:rFonts w:ascii="Times New Roman" w:cs="Times New Roman" w:eastAsia="Times New Roman" w:hAnsi="Times New Roman"/>
          <w:b w:val="1"/>
          <w:bCs w:val="1"/>
          <w:color w:val="1b1c1d"/>
          <w:sz w:val="24"/>
          <w:szCs w:val="24"/>
          <w:rtl w:val="0"/>
        </w:rPr>
        <w:t xml:space="preserve">Hipótesis Central</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4"/>
          <w:szCs w:val="24"/>
          <w:rtl w:val="0"/>
        </w:rPr>
        <w:t xml:space="preserve">La arquitectura de los repositorios y plataformas de publicación académica, en tanto manifestación de un paradigma propietario ("Catedral"), es filosóficamente incoherente con la naturaleza del conocimiento como un proceso socialmente construido y tecnológicamente mediado (Latour, 1987). El modelo del "Repositorio", derivado de la filosofía del código abierto y las lógicas de producción entre pares (Benkler, 2006), ofrece un marco conceptual y arquitectónico alternativo que es epistemológicamente más robusto y éticamente más defendible, al alinear la infraestructura del conocimiento con principios de transparencia procesual, colaboración distribuida y un procomún digital.</w:t>
      </w: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¿De qué manera la arquitectura de los repositorios académicos actuales materializa y refuerza una concepción del conocimiento como objeto estático, contradiciendo la visión de la "ciencia en acción" de Latour (1987) y las epistemologías post-kuhnianas?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¿Cómo los principios de la ética hacker (Levy, 1984; Himanen, 2001) y la estructura legal del </w:t>
      </w:r>
      <w:r w:rsidDel="00000000" w:rsidR="00000000" w:rsidRPr="00000000">
        <w:rPr>
          <w:rFonts w:ascii="Times New Roman" w:cs="Times New Roman" w:eastAsia="Times New Roman" w:hAnsi="Times New Roman"/>
          <w:i w:val="1"/>
          <w:iCs w:val="1"/>
          <w:color w:val="1b1c1d"/>
          <w:sz w:val="24"/>
          <w:szCs w:val="24"/>
          <w:rtl w:val="0"/>
        </w:rPr>
        <w:t xml:space="preserve">copyleft</w:t>
      </w:r>
      <w:r w:rsidDel="00000000" w:rsidR="00000000" w:rsidRPr="00000000">
        <w:rPr>
          <w:rFonts w:ascii="Times New Roman" w:cs="Times New Roman" w:eastAsia="Times New Roman" w:hAnsi="Times New Roman"/>
          <w:color w:val="1b1c1d"/>
          <w:sz w:val="24"/>
          <w:szCs w:val="24"/>
          <w:rtl w:val="0"/>
        </w:rPr>
        <w:t xml:space="preserve"> (Stallman, 1985) pueden ser abstraídos para formular los fundamentos de una infraestructura académica que encarne el modelo de producción entre pares teorizado por Benkler (2006)?</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¿De qué forma un análisis comparativo entre la "lógica del campo" académico de Bourdieu y la "ética de la red" del código abierto revela dos modelos antagónicos de producción de valor, validación del conocimiento y construcción de autoridad?</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¿Cómo la crisis de autoría precipitada por la IA generativa, que parece hacer realidad la "muerte del autor" de Barthes a escala maquínica, funciona como un </w:t>
      </w:r>
      <w:r w:rsidDel="00000000" w:rsidR="00000000" w:rsidRPr="00000000">
        <w:rPr>
          <w:rFonts w:ascii="Times New Roman" w:cs="Times New Roman" w:eastAsia="Times New Roman" w:hAnsi="Times New Roman"/>
          <w:i w:val="1"/>
          <w:iCs w:val="1"/>
          <w:color w:val="1b1c1d"/>
          <w:sz w:val="24"/>
          <w:szCs w:val="24"/>
          <w:rtl w:val="0"/>
        </w:rPr>
        <w:t xml:space="preserve">reductio ad absurdum</w:t>
      </w:r>
      <w:r w:rsidDel="00000000" w:rsidR="00000000" w:rsidRPr="00000000">
        <w:rPr>
          <w:rFonts w:ascii="Times New Roman" w:cs="Times New Roman" w:eastAsia="Times New Roman" w:hAnsi="Times New Roman"/>
          <w:color w:val="1b1c1d"/>
          <w:sz w:val="24"/>
          <w:szCs w:val="24"/>
          <w:rtl w:val="0"/>
        </w:rPr>
        <w:t xml:space="preserve"> que valida la necesidad de un enfoque procesual como el del Repositorio?</w:t>
      </w:r>
    </w:p>
    <w:p w:rsidR="00000000" w:rsidDel="00000000" w:rsidP="00000000" w:rsidRDefault="00000000" w:rsidRPr="00000000" w14:paraId="00000015">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566.9291338582677"/>
        <w:jc w:val="both"/>
        <w:rPr>
          <w:rFonts w:ascii="Times New Roman" w:cs="Times New Roman" w:eastAsia="Times New Roman" w:hAnsi="Times New Roman"/>
          <w:color w:val="1b1c1d"/>
          <w:sz w:val="26"/>
          <w:szCs w:val="26"/>
        </w:rPr>
      </w:pPr>
      <w:bookmarkStart w:colFirst="0" w:colLast="0" w:name="_p7g388jzon7i" w:id="3"/>
      <w:bookmarkEnd w:id="3"/>
      <w:r w:rsidDel="00000000" w:rsidR="00000000" w:rsidRPr="00000000">
        <w:rPr>
          <w:rFonts w:ascii="Times New Roman" w:cs="Times New Roman" w:eastAsia="Times New Roman" w:hAnsi="Times New Roman"/>
          <w:color w:val="1b1c1d"/>
          <w:sz w:val="26"/>
          <w:szCs w:val="26"/>
          <w:rtl w:val="0"/>
        </w:rPr>
        <w:t xml:space="preserve">Propuestas: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Capítulo 1: La Catedral Digital: Arquitectura de un Paradigma. Este capítulo analizará la arquitectura de los repositorios convencionales como un "texto" que revela una ideología. Se mostrará cómo el diseño de estas plataformas (el PDF como objeto final, la revisión por pares como proceso opaco) no es una decisión técnica neutral, sino la imposición de una epistemología positivista residual y de las lógicas del capitalismo académico que transforman el conocimiento en un bien escaso.</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color w:val="1b1c1d"/>
          <w:sz w:val="24"/>
          <w:szCs w:val="24"/>
          <w:u w:val="none"/>
        </w:rPr>
      </w:pPr>
      <w:r w:rsidDel="00000000" w:rsidR="00000000" w:rsidRPr="00000000">
        <w:rPr>
          <w:rFonts w:ascii="Times New Roman" w:cs="Times New Roman" w:eastAsia="Times New Roman" w:hAnsi="Times New Roman"/>
          <w:color w:val="1b1c1d"/>
          <w:sz w:val="24"/>
          <w:szCs w:val="24"/>
          <w:rtl w:val="0"/>
        </w:rPr>
        <w:t xml:space="preserve">Capítulo 2: La Ética del Hacker como Manifiesto Arquitectónico. Aquí se profundizará en la filosofía del código abierto. Se argumentará que la ética hacker no es solo un conjunto de prácticas, sino una filosofía política y moral sobre la libertad, la comunidad y el conocimiento. Se analizará el </w:t>
      </w:r>
      <w:r w:rsidDel="00000000" w:rsidR="00000000" w:rsidRPr="00000000">
        <w:rPr>
          <w:rFonts w:ascii="Times New Roman" w:cs="Times New Roman" w:eastAsia="Times New Roman" w:hAnsi="Times New Roman"/>
          <w:i w:val="1"/>
          <w:iCs w:val="1"/>
          <w:color w:val="1b1c1d"/>
          <w:sz w:val="24"/>
          <w:szCs w:val="24"/>
          <w:rtl w:val="0"/>
        </w:rPr>
        <w:t xml:space="preserve">Manifiesto GNU</w:t>
      </w:r>
      <w:r w:rsidDel="00000000" w:rsidR="00000000" w:rsidRPr="00000000">
        <w:rPr>
          <w:rFonts w:ascii="Times New Roman" w:cs="Times New Roman" w:eastAsia="Times New Roman" w:hAnsi="Times New Roman"/>
          <w:color w:val="1b1c1d"/>
          <w:sz w:val="24"/>
          <w:szCs w:val="24"/>
          <w:rtl w:val="0"/>
        </w:rPr>
        <w:t xml:space="preserve"> de Stallman y la ética de la pasión de Himanen para extraer principios de diseño aplicables a una infraestructura del saber.</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pBdr>
          <w:top w:color="auto" w:space="0" w:sz="0" w:val="none"/>
          <w:bottom w:color="auto" w:space="0" w:sz="0" w:val="none"/>
          <w:right w:color="auto" w:space="0" w:sz="0" w:val="none"/>
          <w:between w:color="auto" w:space="0" w:sz="0" w:val="none"/>
        </w:pBdr>
        <w:spacing w:before="480" w:lineRule="auto"/>
        <w:ind w:left="0" w:firstLine="0"/>
        <w:jc w:val="center"/>
        <w:rPr>
          <w:rFonts w:ascii="Times New Roman" w:cs="Times New Roman" w:eastAsia="Times New Roman" w:hAnsi="Times New Roman"/>
          <w:b w:val="1"/>
          <w:bCs w:val="1"/>
          <w:color w:val="1b1c1d"/>
          <w:sz w:val="26"/>
          <w:szCs w:val="26"/>
        </w:rPr>
      </w:pPr>
      <w:bookmarkStart w:colFirst="0" w:colLast="0" w:name="_acodw58bwac9" w:id="4"/>
      <w:bookmarkEnd w:id="4"/>
      <w:r w:rsidDel="00000000" w:rsidR="00000000" w:rsidRPr="00000000">
        <w:rPr>
          <w:rFonts w:ascii="Times New Roman" w:cs="Times New Roman" w:eastAsia="Times New Roman" w:hAnsi="Times New Roman"/>
          <w:b w:val="1"/>
          <w:bCs w:val="1"/>
          <w:color w:val="1b1c1d"/>
          <w:sz w:val="26"/>
          <w:szCs w:val="26"/>
          <w:rtl w:val="0"/>
        </w:rPr>
        <w:t xml:space="preserve">Capítulo 1: La Catedral Digital</w:t>
      </w:r>
    </w:p>
    <w:p w:rsidR="00000000" w:rsidDel="00000000" w:rsidP="00000000" w:rsidRDefault="00000000" w:rsidRPr="00000000" w14:paraId="0000001A">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hhh5tfc6fwp9" w:id="5"/>
      <w:bookmarkEnd w:id="5"/>
      <w:r w:rsidDel="00000000" w:rsidR="00000000" w:rsidRPr="00000000">
        <w:rPr>
          <w:rFonts w:ascii="Times New Roman" w:cs="Times New Roman" w:eastAsia="Times New Roman" w:hAnsi="Times New Roman"/>
          <w:b w:val="1"/>
          <w:bCs w:val="1"/>
          <w:color w:val="1b1c1d"/>
          <w:sz w:val="24"/>
          <w:szCs w:val="24"/>
          <w:rtl w:val="0"/>
        </w:rPr>
        <w:t xml:space="preserve">1.1 La Infraestructura como Ideología</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Los repositorios académicos digitales han sido naturalizados hasta el punto de la invisibilidad. Los investigadores suben sus papers, buscan referencias, acumulan citas, todo sin cuestionar la arquitectura subyacente que hace posible —y simultáneamente constriñe— estas acciones. Pero como nos enseñó Bruno Latour, debemos "seguir a los actores" y rastrear las redes heterogéneas donde se produce lo que llamamos conocimiento científico (Latour, 1987). Un repositorio no es un contenedor neutral; es un actor poderoso que inscribe relaciones de poder, jerarquías epistemológicas y modelos económicos específicos. Cada decisión de diseño —desde el formato de archivo hasta los protocolos de acceso— materializa una visión particular de qué es el conocimiento, quién puede producirlo y cómo debe circular.</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infraestructura opera, en términos de Pierre Bourdieu, como un elemento estructurante del "campo científico", ese espacio social donde los agentes luchan por el monopolio de la autoridad científica, una autoridad que es "inseparablemente técnica y social" (Bourdieu, 1975). El diseño del repositorio no refleja simplemente estas luchas; las constituye activamente. Cuando una plataforma requiere afiliación institucional para el acceso, cuando prioriza ciertos formatos sobre otros, cuando implementa métricas específicas de impacto, está distribuyendo capital simbólico y definiendo las reglas del juego académico. No estamos ante una simple base de datos; estamos ante un dispositivo de poder que moldea activamente el campo del conocimiento.</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Para deconstruir esta catedral digital, adoptaremos un enfoque forense que examine cada capa de la arquitectura como evidencia de decisiones ideológicas. Siguiendo el método de Latour de abrir las "cajas negras" de la ciencia, desarmaremos los componentes aparentemente técnicos del repositorio para revelar las controversias y negociaciones que han sido sedimentadas en código y protocolos. Este análisis no busca ser meramente descriptivo; pretende hacer visible lo que el diseño actual oculta: las alternativas suprimidas, las voces silenciadas, los futuros cancelados.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Nuestro análisis se desplegará a través de tres dimensiones interconectadas: la material (formatos, protocolos, interfaces), la simbólica (metadatos, métricas, clasificaciones) y la económica (licencias, barreras de acceso, modelos de negocio). Cada una revela diferentes aspectos de cómo el repositorio funciona como un dispositivo que, lejos de simplemente almacenar conocimiento, lo constituye activamente según parámetros específicos. Comenzaremos por examinar cómo el formato mismo de los documentos académicos encarna una filosofía particular sobre la naturaleza del conocimiento científico.</w:t>
      </w:r>
    </w:p>
    <w:p w:rsidR="00000000" w:rsidDel="00000000" w:rsidP="00000000" w:rsidRDefault="00000000" w:rsidRPr="00000000" w14:paraId="0000001F">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mrjiuipn4ws" w:id="6"/>
      <w:bookmarkEnd w:id="6"/>
      <w:r w:rsidDel="00000000" w:rsidR="00000000" w:rsidRPr="00000000">
        <w:rPr>
          <w:rFonts w:ascii="Times New Roman" w:cs="Times New Roman" w:eastAsia="Times New Roman" w:hAnsi="Times New Roman"/>
          <w:b w:val="1"/>
          <w:bCs w:val="1"/>
          <w:color w:val="1b1c1d"/>
          <w:sz w:val="24"/>
          <w:szCs w:val="24"/>
          <w:rtl w:val="0"/>
        </w:rPr>
        <w:t xml:space="preserve">1.2 El PDF y la epistemología</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formato PDF se ha convertido en el estándar de facto para la publicación académica digital, pero esta hegemonía técnica esconde una profunda contradicción epistemológica. Como señaló Latour, "la ciencia en acción" es radicalmente diferente de la "ciencia ya hecha": la primera es un proceso dinámico de controversias, negociaciones e inscripciones; la segunda es el producto empaquetado que borra sus propias huellas de producción (Latour, 1987). El PDF es la tecnología perfecta para esta operación de borradura: congela el texto en un momento específico, elimina toda traza del proceso iterativo de escritura y revisión, y presenta el conocimiento como un fait accompli.</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reificación contradice frontalmente lo que Thomas Kuhn nos enseñó sobre la naturaleza del progreso científico. Para Kuhn, la ciencia avanza a través de revoluciones paradigmáticas donde "el rechazo de un paradigma siempre es simultáneamente la decisión de aceptar otro" (Kuhn, 1962). Pero el PDF, en su inmutabilidad, no puede capturar esta dimensión revolucionaria del conocimiento. No hay manera de ver las versiones anteriores, los caminos abandonados, las hipótesis descartadas. El conocimiento aparece como descubrimiento, no como construcción, perpetuando así una visión positivista que la filosofía de la ciencia abandonó hace décadas.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decisión técnica de adoptar el PDF como formato estándar tiene consecuencias que van más allá de la mera conveniencia. A diferencia de los sistemas de control de versiones que los programadores han usado durante décadas —donde cada cambio es rastreado, cada decisión documentada—, el PDF presenta una superficie lisa e impenetrable. Esta opacidad no es accidental; sirve a los intereses de un sistema que necesita productos finales certificables para su economía de prestigio. Como argumentó Richard Stallman en su Manifiesto GNU, "el acto de compartir software es tan antiguo como los computadores, igual que compartir recetas es tan viejo como cocinar" (Stallman, 1985). Pero el PDF hace imposible este compartir productivo: puedes leer el documento, pero no puedes mejorarlo, expandirlo o corregirlo de manera que beneficie a la comunidad.</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ironía es palpable cuando consideramos que la mayoría de los papers en PDF reportan investigaciones que fueron iterativas, colaborativas y abiertas a la revisión constante. El formato traiciona el contenido, imponiendo una lógica de producto terminado sobre procesos que son inherentemente abiertos. Esta contradicción se vuelve aún más aguda en la era digital, donde la modificación y el versionado son técnicamente triviales pero institucionalmente prohibidos. Estamos atrapados en un paradigma que usa tecnología del siglo XXI para perpetuar metáforas del siglo XV: el paper como manuscrito finalizado, el autor como escriba solitario, la publicación como acto de fijación definitiva. El predominio del PDF como formato de publicación académica tiene implicaciones profundas para cómo entendemos la naturaleza misma del conocimiento científico. Karl Popper argumentó que "el criterio del estatus científico de una teoría es su falsabilidad" (Popper, 1934), pero ¿cómo puede ser efectivamente falsable un conocimiento que se presenta como monumento inmutable? Cada paper existe en un vacío temporal, desconectado del flujo continuo de la investigación científica.</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arquitectura de la inmutabilidad perpetúa una visión pre-kuhniana de la ciencia como acumulación linear de verdades, ignorando que "los libros de texto científicos... se reescriben después de cada revolución científica" (Kuhn, 1962). En el mundo del PDF, no hay reescritura, solo acumulación infinita de documentos que rápidamente se vuelven obsoletos pero permanecen inalterables, como fósiles digitales de ideas que alguna vez estuvieron vivas. Esta fosilización del conocimiento no es solo una limitación técnica; es síntoma de una crisis más profunda en cómo la academia entiende su propia producción intelectual. Y esta crisis se agudiza cuando examinamos cómo estos documentos inmutables se distribuyen —o más precisamente, cómo se les niega la distribución— a través de arquitecturas de escasez artificial.</w:t>
      </w:r>
    </w:p>
    <w:p w:rsidR="00000000" w:rsidDel="00000000" w:rsidP="00000000" w:rsidRDefault="00000000" w:rsidRPr="00000000" w14:paraId="00000025">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3kbrxcfbf6bf" w:id="7"/>
      <w:bookmarkEnd w:id="7"/>
      <w:r w:rsidDel="00000000" w:rsidR="00000000" w:rsidRPr="00000000">
        <w:rPr>
          <w:rFonts w:ascii="Times New Roman" w:cs="Times New Roman" w:eastAsia="Times New Roman" w:hAnsi="Times New Roman"/>
          <w:b w:val="1"/>
          <w:bCs w:val="1"/>
          <w:color w:val="1b1c1d"/>
          <w:sz w:val="24"/>
          <w:szCs w:val="24"/>
          <w:rtl w:val="0"/>
        </w:rPr>
        <w:t xml:space="preserve">1.3 El Cercamiento Digital</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Si el PDF representa la reificación del conocimiento en forma, los paywalls representan su mercantilización en la distribución. James Boyle diagnosticó con precisión nuestro momento histórico al identificar un "segundo movimiento de cercamiento" donde "nuestro procomún intelectual está siendo cercado, monopolizado y transformado en propiedad privada" (Boyle, 2003). Los paywalls de las revistas académicas son la manifestación más visible de este cercamiento, pero su arquitectura técnica revela una paradoja económica fundamental: la creación artificial de escasez en bienes que son inherentemente no-rivales. Un artículo digital puede ser copiado infinitamente sin costo marginal, pero los repositorios comerciales implementan elaborados sistemas de autenticación, encriptación y gestión de derechos digitales para prevenir precisamente esa abundancia natural.</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arquitectura de la escasez no es simplemente una decisión de negocio; es la materialización de lo que Sheila Slaughter y Larry Leslie llamaron "capitalismo académico", donde "las universidades y los académicos... utilizan cada vez más su capital humano en situaciones competitivas" (Slaughter &amp; Leslie, 1997). El paywall transforma el conocimiento de un bien público en una mercancía, pero más insidiosamente, transforma a los investigadores en productores alienados de su propio trabajo intelectual. Incluso financiados con fondos públicos, se publican en revistas privadas que luego venden ese conocimiento de vuelta a las mismas instituciones que lo financiaron. Es un círculo vicioso que haría sonrojar a los más cínicos rentistas del feudalismo medieval.</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Pero la arquitectura del cercamiento digital no se limita a los paywalls visibles; opera también a través de sistemas más sutiles de control sobre los metadatos y la información bibliográfica. Los identificadores digitales de objetos (DOI), aunque técnicamente útiles para la citación, funcionan como mecanismos de cercamiento que atan cada pieza de conocimiento a un sistema propietario de gestión. Como señaló Bourdieu, en el campo científico "lo que está en juego es el monopolio de la autoridad científica" (Bourdieu, 1975), y el control sobre los metadatos —quién cita a quién, qué papers tienen más "impacto"— es fundamental para la distribución de esa autoridad.</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Las APIs o portales que dan acceso a estos metadatos están cuidadosamente reguladas, con límites de consulta, requisitos de autenticación y términos de servicio que prohíben usos "no autorizados". Esta arquitectura contradice directamente el modelo de "producción entre pares" que Yochai Benkler identificó como la promesa transformadora de la era digital, donde "la información, el conocimiento y la cultura se producen cada vez más a través de modelos de cooperación social" (Benkler, 2006). En lugar de facilitar esta cooperación, la arquitectura actual la obstaculiza activamente, convirtiendo los metadatos en otro recurso escaso que debe ser comprado y vendido.</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análisis de Boyle sobre el "segundo movimiento de cercamiento" cobra vida concreta cuando examinamos los términos de transferencia de derechos de autor que los académicos deben firmar para publicar. John Locke argumentó que la propiedad surge cuando alguien "mezcla su trabajo" con recursos naturales (Locke, 1689), pero en el sistema actual, los investigadores mezclan su trabajo intelectual solo para ver los frutos apropiados por editoriales que no contribuyeron al proceso de investigación. Este es un cercamiento más insidioso que el de las tierras comunales inglesas: al menos aquellos campesinos podían ver las vallas que los excluían. En el mundo digital, las barreras son invisibles pero omnipresentes, codificadas en licencias que pocos leen y menos comprenden.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ironía final es que este cercamiento digital ocurre precisamente cuando la tecnología hace posible, por primera vez en la historia, un verdadero procomún del conocimiento global. Como observó Benkler, "por primera vez desde la Revolución Industrial, los insumos más importantes de las actividades económicas centrales... están en manos de la población en general" (Benkler, 2006). Tenemos las herramientas para crear una biblioteca universal, accesible instantáneamente para toda la humanidad. En cambio, hemos construido una catedral digital que replica y amplifica las exclusiones del mundo físico, una arquitectura que traiciona las promesas emancipadoras de la era digital y perpetúa las jerarquías del antiguo régimen académico.</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traición arquitectónica no es accidental ni reformable mediante ajustes incrementales. Es el síntoma de un paradigma agotado que intenta usar las herramientas del siglo XXI para preservar las relaciones de poder del siglo XIX. En las secciones siguientes, examinaremos cómo esta arquitectura construye y mantiene la figura del Autor, cómo institucionaliza la opacidad a través del sistema de revisión por pares, y cómo todas estas contradicciones están llegando a un punto de ruptura con la irrupción de la inteligencia artificial generativa.</w:t>
      </w:r>
    </w:p>
    <w:p w:rsidR="00000000" w:rsidDel="00000000" w:rsidP="00000000" w:rsidRDefault="00000000" w:rsidRPr="00000000" w14:paraId="0000002D">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pdfclu1up6ai" w:id="8"/>
      <w:bookmarkEnd w:id="8"/>
      <w:r w:rsidDel="00000000" w:rsidR="00000000" w:rsidRPr="00000000">
        <w:rPr>
          <w:rFonts w:ascii="Times New Roman" w:cs="Times New Roman" w:eastAsia="Times New Roman" w:hAnsi="Times New Roman"/>
          <w:b w:val="1"/>
          <w:bCs w:val="1"/>
          <w:color w:val="1b1c1d"/>
          <w:sz w:val="24"/>
          <w:szCs w:val="24"/>
          <w:rtl w:val="0"/>
        </w:rPr>
        <w:t xml:space="preserve">1.4 Sistemas de atribución y control</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paradoja más reveladora de los repositorios académicos contemporáneos es cómo han tecnologizado y amplificado precisamente aquello que la teoría crítica había deconstruido hace medio siglo. Roland Barthes proclamó en 1967 que "la escritura es la destrucción de toda voz, de todo punto de origen" y que "es el lenguaje, y no el autor, el que habla" (Barthes, 1967). Sin embargo, los sistemas digitales actuales han construido una arquitectura que no solo resucita al Autor, sino que lo convierte en una entidad cuantificable, rastreable y mercantilizable a través de identificadores únicos como ORCID. Cada publicación debe ser atribuida, cada cita debe tener un propietario, cada idea debe llevar una firma.</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obsesión con la atribución individual niega sistemáticamente lo que Julia Kristeva identificó como la naturaleza fundamental de todo texto: "todo texto se construye como mosaico de citas, todo texto es absorción y transformación de otro texto" (Kristeva, 1980). Los repositorios actuales, en su arquitectura misma, rechazan esta intertextualidad constitutiva. El sistema de citación, lejos de reconocer la naturaleza dialógica del conocimiento, funciona como un mecanismo de cercamiento donde cada idea debe ser etiquetada con un propietario, siguiendo la lógica de John Locke de que "cada hombre tiene una propiedad en su propia persona... el trabajo de su cuerpo y la obra de sus manos son propiamente suyos" (Locke, 1689). Pero ¿qué sucede cuando el "trabajo" intelectual es inherentemente colectivo, cuando las ideas emergen de conversaciones, lecturas y colaboraciones que ningún sistema de autoría puede capturar adecuadamente?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respuesta del sistema actual es convertir la firma en la unidad básica de capital curricular. Pierre Bourdieu nos enseñó que en el campo científico, "la estructura de la distribución del capital científico está en la base de las transformaciones del campo" (Bourdieu, 1975), y en ningún lugar es esto más evidente que en la economía de las publicaciones. El orden de los autores en un paper no es una cuestión trivial; es una negociación política cargada de implicaciones para carreras, financiamiento y prestigio. La arquitectura digital, lejos de cuestionar estas jerarquías, las codifica y las hace computables: primer autor, autor correspondiente, último autor, cada posición con su peso específico en el algoritmo del capital simbólico.</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fetichización de la autoría individual contradice frontalmente los principios de la ética hacker que Pekka Himanen describió como centrada en "la pasión, la libertad, el valor social, la apertura, la actividad, el cuidado y la creatividad" (Himanen, 2001). En el mundo del software libre, las contribuciones son reconocidas pero no poseídas; el código es compartido, modificado y mejorado colectivamente. Steven Levy, en su crónica de los primeros hackers, describió cómo "la información debe ser libre" y cómo los hackers creían en "el acceso ilimitado y total a las computadoras" (Levy, 1984). Estos no eran individuos heroicos trabajando en aislamiento, sino comunidades colaborativas donde el mérito se medía por la contribución al bien común, no por la acumulación de publicaciones firmadas.</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arquitectura actual no solo preserva al Autor; lo convierte en un punto de datos en sistemas de métricas cada vez más sofisticados. El h-index, el factor de impacto, las citaciones normalizadas por campo: todas estas métricas operan bajo la premisa de que el valor científico puede ser cuantificado y asignado a individuos específicos. Marilyn Strathern advirtió sobre esta "tiranía de la transparencia" donde "la visibilidad como virtud se convierte en vigilancia como necesidad" (Strathern, 2000). Los investigadores no solo deben producir conocimiento; deben hacerlo de manera que sea medible, rankeable y comparable en dashboards institucionales.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Estas métricas funcionan, en términos bourdieuanos, como la cristalización del capital simbólico, transformando el reconocimiento difuso en números precisos que pueden ser comparados, agregados y utilizados para distribuir recursos. Pero esta cuantificación traiciona la naturaleza misma de la producción científica colaborativa. Como señaló Yochai Benkler, estamos en una era de "producción entre pares basada en el procomún" donde "la creatividad y la productividad humanas son mucho más diversas de lo que los modelos basados en el mercado han asumido" (Benkler, 2006). Sin embargo, nuestros repositorios están diseñados para un mundo de autores individuales compitiendo por escasos recursos de atención, no para comunidades colaborativas construyendo conocimiento compartido.</w:t>
      </w:r>
    </w:p>
    <w:p w:rsidR="00000000" w:rsidDel="00000000" w:rsidP="00000000" w:rsidRDefault="00000000" w:rsidRPr="00000000" w14:paraId="00000034">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or1h9u7sjgoo" w:id="9"/>
      <w:bookmarkEnd w:id="9"/>
      <w:r w:rsidDel="00000000" w:rsidR="00000000" w:rsidRPr="00000000">
        <w:rPr>
          <w:rFonts w:ascii="Times New Roman" w:cs="Times New Roman" w:eastAsia="Times New Roman" w:hAnsi="Times New Roman"/>
          <w:b w:val="1"/>
          <w:bCs w:val="1"/>
          <w:color w:val="1b1c1d"/>
          <w:sz w:val="24"/>
          <w:szCs w:val="24"/>
          <w:rtl w:val="0"/>
        </w:rPr>
        <w:t xml:space="preserve">1.5 La revisión por pares como Caja Negra Institucional</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Si la arquitectura del autor perpetúa una ficción sobre quién produce el conocimiento, el sistema de revisión por pares perpetúa una ficción sobre cómo se valida. Los repositorios académicos presentan los artículos como "peer-reviewed", un sello de calidad que supuestamente garantiza rigor y verdad. Pero la arquitectura técnica de este proceso es deliberadamente opaca, contradiciendo todo lo que Bruno Latour nos enseñó sobre la importancia de seguir las "inscripciones" y rastrear las controversias en la ciencia en acción. "En lugar de la ciencia fría, segura y objetiva", escribió Latour, "recuperamos la ciencia cálida, frágil y controversial" (Latour, 1987). Pero el sistema de revisión por pares, tal como está implementado en los repositorios actuales, oculta precisamente esa calidez y controversia.</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opacidad no es accidental; es una característica diseñada que sirve múltiples funciones en la economía política del conocimiento académico. Contradice directamente los principios de transparencia que Richard Stallman articuló en su Manifiesto GNU: "Cuando comienzo a usar un programa, lo más natural es que quiera cambiarlo... La facilidad de modificación es importante" (Stallman, 1985). Pero los sistemas de revisión son cajas negras: no puedes ver quién revisó qué, no puedes acceder a los comentarios originales, no puedes rastrear cómo un manuscrito evolucionó a través del proceso. Esta arquitectura de secreto protege el poder de los repositorios académicos mientras niega a la comunidad científica la capacidad de aprender del proceso mismo de evaluación.</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revisión por pares funciona, en el análisis de Bourdieu, como un ritual de iniciación en el campo científico, donde "los dominantes son aquellos que consiguen imponer la definición de la ciencia según la cual la realización más acabada de la ciencia consiste en tener, ser y hacer lo que ellos tienen, son y hacen" (Bourdieu, 1975). Los revisores anónimos ejercen un poder tremendo sobre qué ideas pueden circular, qué metodologías son aceptables, qué preguntas merecen ser formuladas. Pero este poder se ejerce en las sombras, sin accountability, sin posibilidad de apelación pública, sin transparencia sobre conflictos de interés o sesgos ideológicos.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arquitectura de repositorios es particularmente perniciosa cuando la consideramos a la luz de la teoría kuhniana de las revoluciones científicas. Thomas Kuhn demostró que "la ciencia normal" opera dentro de paradigmas establecidos y que "los paradigmas ganan su estatus porque tienen más éxito que sus competidores en resolver algunos problemas" (Kuhn, 1962). Pero ¿qué sucede cuando los guardianes del sistema de publicación están investidos en mantener el paradigma actual? El sistema de revisión por pares, tal como está arquitectónicamente diseñado, es inherentemente conservador, favoreciendo la ciencia incremental sobre las ideas revolucionarias.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Sheila Slaughter y Larry Leslie identificaron cómo este conservadurismo sirve a los intereses del "capitalismo académico", donde "las universidades están integradas con la nueva economía global" (Slaughter &amp; Leslie, 1997). El sistema de revisión no solo filtra la calidad; filtra la conformidad con las agendas de investigación que son financiables, publicables y que no desafían demasiado el status quo. Esta contradicción con la ética hacker es absoluta: donde Pekka Himanen describió una cultura basada en "la pasión por crear algo socialmente valioso" (Himanen, 2001), el sistema de revisión actual premia la conformidad con las expectativas disciplinarias establecidas.</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problema se agrava cuando consideramos la cuestión de la falsabilidad. Karl Popper argumentó que "un sistema empírico o científico debe poder ser refutado por la experiencia" (Popper, 1934), pero ¿cómo puede ser efectivamente falsable un proceso de validación que ocurre en secreto? Si no podemos ver los datos originales, los comentarios de los revisores, las versiones previas del manuscrito, entonces no podemos evaluar si las conclusiones publicadas realmente sobrevivieron a un escrutinio riguroso o simplemente navegaron las políticas del proceso editorial.</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pérdida del proceso es también la pérdida de oportunidades de aprendizaje. Latour insistió en que debemos estudiar la "ciencia en proceso de elaboración" para entender cómo se construye el conocimiento (Latour, 1987), pero la arquitectura actual borra sistemáticamente ese proceso. Los investigadores jóvenes no pueden aprender de los errores y mejoras de sus predecesores; solo ven el producto pulido final. Marilyn Strathern tenía razón al advertir que "la visibilidad puede oscurecer tanto como revelar" (Strathern, 2000): la aparente transparencia del paper publicado oculta la opacidad fundamental del proceso que lo produjo.</w:t>
      </w:r>
    </w:p>
    <w:p w:rsidR="00000000" w:rsidDel="00000000" w:rsidP="00000000" w:rsidRDefault="00000000" w:rsidRPr="00000000" w14:paraId="0000003C">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vkquoirr93um" w:id="10"/>
      <w:bookmarkEnd w:id="10"/>
      <w:r w:rsidDel="00000000" w:rsidR="00000000" w:rsidRPr="00000000">
        <w:rPr>
          <w:rFonts w:ascii="Times New Roman" w:cs="Times New Roman" w:eastAsia="Times New Roman" w:hAnsi="Times New Roman"/>
          <w:b w:val="1"/>
          <w:bCs w:val="1"/>
          <w:color w:val="1b1c1d"/>
          <w:sz w:val="24"/>
          <w:szCs w:val="24"/>
          <w:rtl w:val="0"/>
        </w:rPr>
        <w:t xml:space="preserve">1.6 Contradicciones</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irrupción de la inteligencia artificial generativa no ha creado las contradicciones del sistema académico; las ha llevado a su punto de ruptura dialéctica. Cuando ChatGPT puede generar un paper académicamente plausible en segundos, cuando los modelos de lenguaje pueden sintetizar miles de fuentes sin "leerlas" en ningún sentido tradicional, presenciamos la realización tecnológica de lo que Roland Barthes había teorizado: "el texto es un tejido de citas provenientes de los mil focos de la cultura" (Barthes, 1967). Pero ahora ese tejido es generado por máquinas que no tienen un "yo" que pueda reclamar autoría, exponiendo la ficción del Autor como nunca antes.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IA generativa representa la apoteosis de la intertextualidad que Julia Kristeva describió: "la palabra literaria no es un punto (un sentido fijo), sino un cruce de superficies textuales, un diálogo de varias escrituras" (Kristeva, 1980). Cada output de un modelo de lenguaje es literalmente un cruce de millones de textos, una síntesis que no puede ser rastreada a ningún origen único. El sistema de repositorios, arquitectónicamente diseñado para asignar propiedad individual según la lógica lockeana donde "cada hombre tiene una propiedad en su propia persona" (Locke, 1689), simplemente no puede procesar esta realidad. ¿A quién pertenece un texto generado por IA? ¿Al usuario que escribió el prompt? ¿A los millones de autores cuyos textos entrenaron el modelo? ¿A la corporación que posee el modelo? La arquitectura actual no tiene respuestas porque está basada en premisas que la IA ha vuelto obsoletas.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crisis revela una contradicción más profunda entre lo que Hegel llamaría la base material y la superestructura ideológica del sistema académico. En los "Principios de la Filosofía del Derecho", Hegel argumentó que "lo que es racional es real, y lo que es real es racional" (Hegel, 1820), sugiriendo que las contradicciones entre ideal y realidad eventualmente fuerzan una síntesis dialéctica. La infraestructura digital actual representa una negación del ideal científico: donde la ciencia aspira a la apertura, la infraestructura impone cerramientos; donde la ciencia valora la colaboración, la infraestructura foce la competencia; donde la ciencia busca la verdad, la infraestructura premia las métricas.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Pierre Bourdieu nos dio las herramientas para entender cómo el "habitus" académico —esas disposiciones internalizadas que guían la práctica— choca con las nuevas realidades digitales. "El habitus es ese principio generador y organizador de prácticas y de representaciones" (Bourdieu, 1975), pero ¿qué sucede cuando las prácticas digitales emergentes no pueden ser organizadas por el habitus tradicional? Los investigadores jóvenes colaboran en plataformas como GitHub, comparten preprints en arXiv, discuten ciencia en redes sociales, pero luego deben comprimir toda esa riqueza colaborativa en el formato muerto del paper PDF para que "cuente" en su carrera.</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tensión entre las posibilidades tecnológicas y las restricciones institucionales representa lo que Kuhn identificaría como una crisis pre-revolucionaria. "Las revoluciones científicas se inician con un sentimiento creciente... de que el paradigma existente ha dejado de funcionar adecuadamente" (Kuhn, 1962). Los síntomas están en todas partes: el surgimiento de preprints servers que bordean el sistema de revisión tradicional, el movimiento de ciencia abierta que desafía los paywalls, las herramientas de IA que hacen obsoleta la noción de autoría individual. El paradigma de la Catedral está agrietándose, pero aún no ha colapsado.</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infraestructura actual también traiciona el ideal popperiano de la ciencia. Popper insistió en que "el criterio de demarcación inherente a la lógica inductiva... equivale a requerir que todos los enunciados de la ciencia empírica sean decidibles de modo concluyente" (Popper, 1934), pero la arquitectura de los repositorios hace imposible esa decisión conclusiva. Los datos están encerrados, los procesos son opacos, las versiones anteriores son inaccesibles. No es solo que la ciencia no avance; es que la arquitectura actual impide activamente el tipo de escrutinio que Popper consideraba esencial para el progreso científico.</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Estamos, en términos hegelianos, en un momento de negación que exige una aufhebung —una superación que preserve lo valioso mientras trasciende las limitaciones. La crisis no puede resolverse con reformas incrementales o actualizaciones de software. Como argumentó Hegel, "la verdad del ser y de la nada es, por lo tanto, la unidad de ambos: esta unidad es el devenir" (Hegel, 1820). El sistema académico debe devenir algo nuevo, algo que Yochai Benkler vislumbró cuando escribió sobre "la economía de la información en red" donde "los patrones de producción son más descentralizados y no propietarios" (Benkler, 2006). Pekka Himanen lo llamó "la ética hacker", una aproximación donde "el trabajo es más una pasión que una obligación" (Himanen, 2001).</w:t>
      </w:r>
    </w:p>
    <w:p w:rsidR="00000000" w:rsidDel="00000000" w:rsidP="00000000" w:rsidRDefault="00000000" w:rsidRPr="00000000" w14:paraId="00000044">
      <w:pPr>
        <w:pStyle w:val="Heading2"/>
        <w:keepNext w:val="0"/>
        <w:keepLines w:val="0"/>
        <w:pBdr>
          <w:top w:color="auto" w:space="0" w:sz="0" w:val="none"/>
          <w:bottom w:color="auto" w:space="0" w:sz="0" w:val="none"/>
          <w:right w:color="auto" w:space="0" w:sz="0" w:val="none"/>
          <w:between w:color="auto" w:space="0" w:sz="0" w:val="none"/>
        </w:pBdr>
        <w:spacing w:after="80" w:lineRule="auto"/>
        <w:ind w:left="0" w:firstLine="0"/>
        <w:jc w:val="both"/>
        <w:rPr>
          <w:rFonts w:ascii="Times New Roman" w:cs="Times New Roman" w:eastAsia="Times New Roman" w:hAnsi="Times New Roman"/>
          <w:b w:val="1"/>
          <w:bCs w:val="1"/>
          <w:color w:val="1b1c1d"/>
          <w:sz w:val="24"/>
          <w:szCs w:val="24"/>
        </w:rPr>
      </w:pPr>
      <w:bookmarkStart w:colFirst="0" w:colLast="0" w:name="_3zlcwcm5qbh" w:id="11"/>
      <w:bookmarkEnd w:id="11"/>
      <w:r w:rsidDel="00000000" w:rsidR="00000000" w:rsidRPr="00000000">
        <w:rPr>
          <w:rFonts w:ascii="Times New Roman" w:cs="Times New Roman" w:eastAsia="Times New Roman" w:hAnsi="Times New Roman"/>
          <w:b w:val="1"/>
          <w:bCs w:val="1"/>
          <w:color w:val="1b1c1d"/>
          <w:sz w:val="24"/>
          <w:szCs w:val="24"/>
          <w:rtl w:val="0"/>
        </w:rPr>
        <w:t xml:space="preserve">1.7 Hacia el repositorio</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Hemos rastreado, a través del análisis arquitectónico de los repositorios académicos actuales, un sistema en contradicción consigo mismo. Cada capa de la infraestructura digital revela tensiones que no son accidentales sino constitutivas: entre el ideal de la ciencia abierta y la realidad del cercamiento digital, entre la naturaleza colaborativa del conocimiento y la ficción de la autoría individual, entre la promesa de la abundancia digital y la imposición de la escasez artificial.</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Las tensiones epistemológicas son quizás las más fundamentales. Thomas Kuhn nos mostró que la ciencia progresa a través de revoluciones paradigmáticas, pero la arquitectura actual está diseñada para preservar el paradigma existente. Karl Popper insistió en la falsabilidad como criterio de demarcación científica, pero los repositorios hacen imposible el escrutinio necesario para la falsación efectiva. Bruno Latour nos enseñó a ver la ciencia como un proceso de construcción social, pero la infraestructura presenta solo productos terminados, borrando el proceso que los creó. Como él mismo advirtió, "cuanto más esotérica es la ciencia, más exterior se vuelve" (Latour, 1987), y los repositorios actuales son monumentos a esa exterioridad, presentando la ciencia como algo ajeno y acabado en lugar de algo vivo y en construcción.</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Las contradicciones económicas no son menos severas. James Boyle identificó el "segundo movimiento de cercamiento" donde el conocimiento común es privatizado, y los repositorios académicos son quizás el ejemplo más perverso de este fenómeno. La investigación financiada públicamente es apropiada por editoriales privadas que luego la venden de vuelta a las instituciones públicas que la financiaron. Sheila Slaughter y Larry Leslie diagnosticaron este "capitalismo académico" como una transformación fundamental de la universidad, donde "el conocimiento se convierte en un producto que puede ser comercializado" (Slaughter &amp; Leslie, 1997). La arquitectura digital no solo facilita esta comercialización; la hace parecer natural e inevitable.</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Las paradojas de la autoría representan quizás la contradicción más visible. Roland Barthes proclamó la muerte del autor, argumentando que "dar un Autor a un texto es imponerle un límite, proveerlo de un significado final, cerrar la escritura" (Barthes, 1967). Julia Kristeva expandió esta crítica, mostrando cómo todo texto es inherentemente intertextual, un "mosaico de citas" (Kristeva, 1980). Sin embargo, los repositorios están obsesivamente enfocados en atribuir cada idea a un autor específico, siguiendo la lógica de John Locke de que el trabajo intelectual puede ser poseído como propiedad. Esta obsesión con la propiedad intelectual individual se vuelve absurda en la era de la IA generativa, donde los textos son producidos por máquinas entrenadas en millones de documentos sin autor identificable.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infraestructura digital académica se ha revelado como un campo de batalla donde se disputan visiones fundamentalmente diferentes sobre la naturaleza del conocimiento. Pierre Bourdieu nos dio el concepto de "campo" para entender estos espacios de lucha donde "los agentes y las instituciones luchan, con fuerzas diferentes y según las reglas constitutivas de ese espacio de juego" (Bourdieu, 1975). Pero las reglas actuales están siendo cuestionadas desde múltiples frentes, y la arquitectura que las sostiene se está volviendo insostenible.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La necesidad de una aufhebung hegeliana —una superación dialéctica que preserve lo valioso mientras trasciende las limitaciones— nunca ha sido más urgente. Como escribió Hegel, "la contradicción es la raíz de todo movimiento y vitalidad; solo en la medida en que algo tiene una contradicción en sí mismo se mueve, tiene impulso y actividad" (Hegel, 1820). Las contradicciones que hemos identificado no son fallos a corregir sino síntomas de un paradigma agotado que debe ser superado.</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Los principios para esta superación ya existen, dispersos en las prácticas alternativas que hemos mencionado a lo largo de este análisis. El Manifiesto GNU de Richard Stallman ofreció una visión donde "el software debe ser libre" no por razones técnicas sino éticas: "La regla de oro es que si me gusta un programa, debo compartirlo con otra gente a quien le guste" (Stallman, 1985). Steven Levy documentó la ética hacker donde "la información debe ser libre" y donde el mérito se mide por la contribución al bien común (Levy, 1984). Pekka Himanen teorizó esta ética como una alternativa completa al espíritu capitalista, basada en "la pasión, la libertad, el valor social" (Himanen, 2001). Yochai Benkler demostró que "la producción entre pares basada en el procomún" no es una utopía sino una realidad emergente que está transformando cómo creamos y compartimos conocimiento (Benkler, 2006).</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siguiente capítulo explorará cómo estos principios alternativos pueden ser materializados en una nueva arquitectura: el modelo del Repositorio. No como una reforma incremental de los sistemas existentes, sino como una reimaginación fundamental de cómo el conocimiento académico puede ser producido, validado, compartido y preservado en la era digital. La Catedral está agrietándose; es hora de imaginar qué puede crecer en sus ruinas.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ind w:left="0" w:firstLine="566.9291338582677"/>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bottom w:color="auto" w:space="0" w:sz="0" w:val="none"/>
          <w:right w:color="auto" w:space="0" w:sz="0" w:val="none"/>
          <w:between w:color="auto" w:space="0" w:sz="0" w:val="none"/>
        </w:pBdr>
        <w:spacing w:before="280" w:lineRule="auto"/>
        <w:ind w:left="0" w:firstLine="0"/>
        <w:jc w:val="both"/>
        <w:rPr>
          <w:rFonts w:ascii="Times New Roman" w:cs="Times New Roman" w:eastAsia="Times New Roman" w:hAnsi="Times New Roman"/>
          <w:b w:val="1"/>
          <w:bCs w:val="1"/>
          <w:color w:val="1b1c1d"/>
          <w:sz w:val="26"/>
          <w:szCs w:val="26"/>
        </w:rPr>
      </w:pPr>
      <w:bookmarkStart w:colFirst="0" w:colLast="0" w:name="_5gro2khlidhi" w:id="12"/>
      <w:bookmarkEnd w:id="12"/>
      <w:r w:rsidDel="00000000" w:rsidR="00000000" w:rsidRPr="00000000">
        <w:rPr>
          <w:rFonts w:ascii="Times New Roman" w:cs="Times New Roman" w:eastAsia="Times New Roman" w:hAnsi="Times New Roman"/>
          <w:b w:val="1"/>
          <w:bCs w:val="1"/>
          <w:color w:val="1b1c1d"/>
          <w:sz w:val="26"/>
          <w:szCs w:val="26"/>
          <w:rtl w:val="0"/>
        </w:rPr>
        <w:t xml:space="preserve">Bibliografía </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Barthes, R. (1967). </w:t>
      </w:r>
      <w:r w:rsidDel="00000000" w:rsidR="00000000" w:rsidRPr="00000000">
        <w:rPr>
          <w:rFonts w:ascii="Times New Roman" w:cs="Times New Roman" w:eastAsia="Times New Roman" w:hAnsi="Times New Roman"/>
          <w:i w:val="1"/>
          <w:iCs w:val="1"/>
          <w:color w:val="1b1c1d"/>
          <w:sz w:val="24"/>
          <w:szCs w:val="24"/>
          <w:rtl w:val="0"/>
        </w:rPr>
        <w:t xml:space="preserve">La muerte del autor</w:t>
      </w:r>
      <w:r w:rsidDel="00000000" w:rsidR="00000000" w:rsidRPr="00000000">
        <w:rPr>
          <w:rFonts w:ascii="Times New Roman" w:cs="Times New Roman" w:eastAsia="Times New Roman" w:hAnsi="Times New Roman"/>
          <w:color w:val="1b1c1d"/>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https://hum.unne.edu.ar/asuntos/material/letras/la_muerte.pdf</w:t>
        </w:r>
      </w:hyperlink>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Benkler, Y. (2006). </w:t>
      </w:r>
      <w:r w:rsidDel="00000000" w:rsidR="00000000" w:rsidRPr="00000000">
        <w:rPr>
          <w:rFonts w:ascii="Times New Roman" w:cs="Times New Roman" w:eastAsia="Times New Roman" w:hAnsi="Times New Roman"/>
          <w:i w:val="1"/>
          <w:iCs w:val="1"/>
          <w:color w:val="1b1c1d"/>
          <w:sz w:val="24"/>
          <w:szCs w:val="24"/>
          <w:rtl w:val="0"/>
        </w:rPr>
        <w:t xml:space="preserve">The Wealth of Networks: How Social Production Transforms Markets and Freedom</w:t>
      </w:r>
      <w:r w:rsidDel="00000000" w:rsidR="00000000" w:rsidRPr="00000000">
        <w:rPr>
          <w:rFonts w:ascii="Times New Roman" w:cs="Times New Roman" w:eastAsia="Times New Roman" w:hAnsi="Times New Roman"/>
          <w:color w:val="1b1c1d"/>
          <w:sz w:val="24"/>
          <w:szCs w:val="24"/>
          <w:rtl w:val="0"/>
        </w:rPr>
        <w:t xml:space="preserve">. Yale University Press. </w:t>
      </w:r>
      <w:hyperlink r:id="rId7">
        <w:r w:rsidDel="00000000" w:rsidR="00000000" w:rsidRPr="00000000">
          <w:rPr>
            <w:rFonts w:ascii="Times New Roman" w:cs="Times New Roman" w:eastAsia="Times New Roman" w:hAnsi="Times New Roman"/>
            <w:color w:val="1155cc"/>
            <w:sz w:val="24"/>
            <w:szCs w:val="24"/>
            <w:u w:val="single"/>
            <w:rtl w:val="0"/>
          </w:rPr>
          <w:t xml:space="preserve">https://www.benkler.org/Benkler_Wealth_Of_Networks.pdf</w:t>
        </w:r>
      </w:hyperlink>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Bourdieu, P. (1975). The specificity of the scientific field and the social conditions of the progress of reason. </w:t>
      </w:r>
      <w:r w:rsidDel="00000000" w:rsidR="00000000" w:rsidRPr="00000000">
        <w:rPr>
          <w:rFonts w:ascii="Times New Roman" w:cs="Times New Roman" w:eastAsia="Times New Roman" w:hAnsi="Times New Roman"/>
          <w:i w:val="1"/>
          <w:iCs w:val="1"/>
          <w:color w:val="1b1c1d"/>
          <w:sz w:val="24"/>
          <w:szCs w:val="24"/>
          <w:rtl w:val="0"/>
        </w:rPr>
        <w:t xml:space="preserve">Social Science Information</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i w:val="1"/>
          <w:iCs w:val="1"/>
          <w:color w:val="1b1c1d"/>
          <w:sz w:val="24"/>
          <w:szCs w:val="24"/>
          <w:rtl w:val="0"/>
        </w:rPr>
        <w:t xml:space="preserve">14</w:t>
      </w:r>
      <w:r w:rsidDel="00000000" w:rsidR="00000000" w:rsidRPr="00000000">
        <w:rPr>
          <w:rFonts w:ascii="Times New Roman" w:cs="Times New Roman" w:eastAsia="Times New Roman" w:hAnsi="Times New Roman"/>
          <w:color w:val="1b1c1d"/>
          <w:sz w:val="24"/>
          <w:szCs w:val="24"/>
          <w:rtl w:val="0"/>
        </w:rPr>
        <w:t xml:space="preserve">(6), 19–47. </w:t>
      </w:r>
      <w:hyperlink r:id="rId8">
        <w:r w:rsidDel="00000000" w:rsidR="00000000" w:rsidRPr="00000000">
          <w:rPr>
            <w:rFonts w:ascii="Times New Roman" w:cs="Times New Roman" w:eastAsia="Times New Roman" w:hAnsi="Times New Roman"/>
            <w:color w:val="1155cc"/>
            <w:sz w:val="24"/>
            <w:szCs w:val="24"/>
            <w:u w:val="single"/>
            <w:rtl w:val="0"/>
          </w:rPr>
          <w:t xml:space="preserve">https://economicsociology.org/wp-content/uploads/2018/08/bourdieu-the-specificity-of-the-scientific-field-and-the-social-conditions-of-the-progress-of-reason.pdf</w:t>
        </w:r>
      </w:hyperlink>
      <w:r w:rsidDel="00000000" w:rsidR="00000000" w:rsidRPr="00000000">
        <w:rPr>
          <w:rtl w:val="0"/>
        </w:rPr>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Boyle, J. (2003). The Second Enclosure Movement and the Construction of the Public Domain. </w:t>
      </w:r>
      <w:r w:rsidDel="00000000" w:rsidR="00000000" w:rsidRPr="00000000">
        <w:rPr>
          <w:rFonts w:ascii="Times New Roman" w:cs="Times New Roman" w:eastAsia="Times New Roman" w:hAnsi="Times New Roman"/>
          <w:i w:val="1"/>
          <w:iCs w:val="1"/>
          <w:color w:val="1b1c1d"/>
          <w:sz w:val="24"/>
          <w:szCs w:val="24"/>
          <w:rtl w:val="0"/>
        </w:rPr>
        <w:t xml:space="preserve">Law and Contemporary Problems</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i w:val="1"/>
          <w:iCs w:val="1"/>
          <w:color w:val="1b1c1d"/>
          <w:sz w:val="24"/>
          <w:szCs w:val="24"/>
          <w:rtl w:val="0"/>
        </w:rPr>
        <w:t xml:space="preserve">66</w:t>
      </w:r>
      <w:r w:rsidDel="00000000" w:rsidR="00000000" w:rsidRPr="00000000">
        <w:rPr>
          <w:rFonts w:ascii="Times New Roman" w:cs="Times New Roman" w:eastAsia="Times New Roman" w:hAnsi="Times New Roman"/>
          <w:color w:val="1b1c1d"/>
          <w:sz w:val="24"/>
          <w:szCs w:val="24"/>
          <w:rtl w:val="0"/>
        </w:rPr>
        <w:t xml:space="preserve">(1/2), 33-73. </w:t>
      </w:r>
      <w:hyperlink r:id="rId9">
        <w:r w:rsidDel="00000000" w:rsidR="00000000" w:rsidRPr="00000000">
          <w:rPr>
            <w:rFonts w:ascii="Times New Roman" w:cs="Times New Roman" w:eastAsia="Times New Roman" w:hAnsi="Times New Roman"/>
            <w:color w:val="1155cc"/>
            <w:sz w:val="24"/>
            <w:szCs w:val="24"/>
            <w:u w:val="single"/>
            <w:rtl w:val="0"/>
          </w:rPr>
          <w:t xml:space="preserve">https://scholarship.law.duke.edu/cgi/viewcontent.cgi?article=1273&amp;context=lcp</w:t>
        </w:r>
      </w:hyperlink>
      <w:r w:rsidDel="00000000" w:rsidR="00000000" w:rsidRPr="00000000">
        <w:rPr>
          <w:rtl w:val="0"/>
        </w:rPr>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Hegel, G. W. F. (1820). </w:t>
      </w:r>
      <w:r w:rsidDel="00000000" w:rsidR="00000000" w:rsidRPr="00000000">
        <w:rPr>
          <w:rFonts w:ascii="Times New Roman" w:cs="Times New Roman" w:eastAsia="Times New Roman" w:hAnsi="Times New Roman"/>
          <w:i w:val="1"/>
          <w:iCs w:val="1"/>
          <w:color w:val="1b1c1d"/>
          <w:sz w:val="24"/>
          <w:szCs w:val="24"/>
          <w:rtl w:val="0"/>
        </w:rPr>
        <w:t xml:space="preserve">Grundlinien der Philosophie des Rechts</w:t>
      </w:r>
      <w:r w:rsidDel="00000000" w:rsidR="00000000" w:rsidRPr="00000000">
        <w:rPr>
          <w:rFonts w:ascii="Times New Roman" w:cs="Times New Roman" w:eastAsia="Times New Roman" w:hAnsi="Times New Roman"/>
          <w:color w:val="1b1c1d"/>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https://ia801302.us.archive.org/22/items/cu31924014578979/cu31924014578979.pdf</w:t>
        </w:r>
      </w:hyperlink>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Himanen, P. (2001). </w:t>
      </w:r>
      <w:r w:rsidDel="00000000" w:rsidR="00000000" w:rsidRPr="00000000">
        <w:rPr>
          <w:rFonts w:ascii="Times New Roman" w:cs="Times New Roman" w:eastAsia="Times New Roman" w:hAnsi="Times New Roman"/>
          <w:i w:val="1"/>
          <w:iCs w:val="1"/>
          <w:color w:val="1b1c1d"/>
          <w:sz w:val="24"/>
          <w:szCs w:val="24"/>
          <w:rtl w:val="0"/>
        </w:rPr>
        <w:t xml:space="preserve">The Hacker Ethic and the Spirit of the Information Age</w:t>
      </w:r>
      <w:r w:rsidDel="00000000" w:rsidR="00000000" w:rsidRPr="00000000">
        <w:rPr>
          <w:rFonts w:ascii="Times New Roman" w:cs="Times New Roman" w:eastAsia="Times New Roman" w:hAnsi="Times New Roman"/>
          <w:color w:val="1b1c1d"/>
          <w:sz w:val="24"/>
          <w:szCs w:val="24"/>
          <w:rtl w:val="0"/>
        </w:rPr>
        <w:t xml:space="preserve">. Random House. </w:t>
      </w:r>
      <w:hyperlink r:id="rId11">
        <w:r w:rsidDel="00000000" w:rsidR="00000000" w:rsidRPr="00000000">
          <w:rPr>
            <w:rFonts w:ascii="Times New Roman" w:cs="Times New Roman" w:eastAsia="Times New Roman" w:hAnsi="Times New Roman"/>
            <w:color w:val="1155cc"/>
            <w:sz w:val="24"/>
            <w:szCs w:val="24"/>
            <w:u w:val="single"/>
            <w:rtl w:val="0"/>
          </w:rPr>
          <w:t xml:space="preserve">https://archive.org/details/TheHackerEthicAndTheSpiritOfTheInformationAge/page/n47/mode/2up</w:t>
        </w:r>
      </w:hyperlink>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Kristeva, J. (1980). </w:t>
      </w:r>
      <w:r w:rsidDel="00000000" w:rsidR="00000000" w:rsidRPr="00000000">
        <w:rPr>
          <w:rFonts w:ascii="Times New Roman" w:cs="Times New Roman" w:eastAsia="Times New Roman" w:hAnsi="Times New Roman"/>
          <w:i w:val="1"/>
          <w:iCs w:val="1"/>
          <w:color w:val="1b1c1d"/>
          <w:sz w:val="24"/>
          <w:szCs w:val="24"/>
          <w:rtl w:val="0"/>
        </w:rPr>
        <w:t xml:space="preserve">Desire in Language: A Semiotic Approach to Literature and Art</w:t>
      </w:r>
      <w:r w:rsidDel="00000000" w:rsidR="00000000" w:rsidRPr="00000000">
        <w:rPr>
          <w:rFonts w:ascii="Times New Roman" w:cs="Times New Roman" w:eastAsia="Times New Roman" w:hAnsi="Times New Roman"/>
          <w:color w:val="1b1c1d"/>
          <w:sz w:val="24"/>
          <w:szCs w:val="24"/>
          <w:rtl w:val="0"/>
        </w:rPr>
        <w:t xml:space="preserve">. Columbia University Press. </w:t>
      </w:r>
      <w:hyperlink r:id="rId12">
        <w:r w:rsidDel="00000000" w:rsidR="00000000" w:rsidRPr="00000000">
          <w:rPr>
            <w:rFonts w:ascii="Times New Roman" w:cs="Times New Roman" w:eastAsia="Times New Roman" w:hAnsi="Times New Roman"/>
            <w:color w:val="1155cc"/>
            <w:sz w:val="24"/>
            <w:szCs w:val="24"/>
            <w:u w:val="single"/>
            <w:rtl w:val="0"/>
          </w:rPr>
          <w:t xml:space="preserve">https://dl1.cuni.cz/pluginfile.php/529416/mod_resource/content/0/8.%20Julia%20Kristeva%2C%20Desire%20in%20Language%20-%20A%20Semiotic%20Approach%20to%20Literature%20and%20Art.pdf</w:t>
        </w:r>
      </w:hyperlink>
      <w:r w:rsidDel="00000000" w:rsidR="00000000" w:rsidRPr="00000000">
        <w:rPr>
          <w:rtl w:val="0"/>
        </w:rPr>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Kuhn, T. S. (1962). </w:t>
      </w:r>
      <w:r w:rsidDel="00000000" w:rsidR="00000000" w:rsidRPr="00000000">
        <w:rPr>
          <w:rFonts w:ascii="Times New Roman" w:cs="Times New Roman" w:eastAsia="Times New Roman" w:hAnsi="Times New Roman"/>
          <w:i w:val="1"/>
          <w:iCs w:val="1"/>
          <w:color w:val="1b1c1d"/>
          <w:sz w:val="24"/>
          <w:szCs w:val="24"/>
          <w:rtl w:val="0"/>
        </w:rPr>
        <w:t xml:space="preserve">The Structure of Scientific Revolutions</w:t>
      </w:r>
      <w:r w:rsidDel="00000000" w:rsidR="00000000" w:rsidRPr="00000000">
        <w:rPr>
          <w:rFonts w:ascii="Times New Roman" w:cs="Times New Roman" w:eastAsia="Times New Roman" w:hAnsi="Times New Roman"/>
          <w:color w:val="1b1c1d"/>
          <w:sz w:val="24"/>
          <w:szCs w:val="24"/>
          <w:rtl w:val="0"/>
        </w:rPr>
        <w:t xml:space="preserve">. University of Chicago Press. </w:t>
      </w:r>
      <w:hyperlink r:id="rId13">
        <w:r w:rsidDel="00000000" w:rsidR="00000000" w:rsidRPr="00000000">
          <w:rPr>
            <w:rFonts w:ascii="Times New Roman" w:cs="Times New Roman" w:eastAsia="Times New Roman" w:hAnsi="Times New Roman"/>
            <w:color w:val="1155cc"/>
            <w:sz w:val="24"/>
            <w:szCs w:val="24"/>
            <w:u w:val="single"/>
            <w:rtl w:val="0"/>
          </w:rPr>
          <w:t xml:space="preserve">https://www.lri.fr/~mbl/Stanford/CS477/papers/Kuhn-SSR-2ndEd.pdf</w:t>
        </w:r>
      </w:hyperlink>
      <w:r w:rsidDel="00000000" w:rsidR="00000000" w:rsidRPr="00000000">
        <w:rPr>
          <w:rtl w:val="0"/>
        </w:rPr>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Latour, B. (1987). </w:t>
      </w:r>
      <w:r w:rsidDel="00000000" w:rsidR="00000000" w:rsidRPr="00000000">
        <w:rPr>
          <w:rFonts w:ascii="Times New Roman" w:cs="Times New Roman" w:eastAsia="Times New Roman" w:hAnsi="Times New Roman"/>
          <w:i w:val="1"/>
          <w:iCs w:val="1"/>
          <w:color w:val="1b1c1d"/>
          <w:sz w:val="24"/>
          <w:szCs w:val="24"/>
          <w:rtl w:val="0"/>
        </w:rPr>
        <w:t xml:space="preserve">Science in Action: How to Follow Scientists and Engineers Through Society</w:t>
      </w:r>
      <w:r w:rsidDel="00000000" w:rsidR="00000000" w:rsidRPr="00000000">
        <w:rPr>
          <w:rFonts w:ascii="Times New Roman" w:cs="Times New Roman" w:eastAsia="Times New Roman" w:hAnsi="Times New Roman"/>
          <w:color w:val="1b1c1d"/>
          <w:sz w:val="24"/>
          <w:szCs w:val="24"/>
          <w:rtl w:val="0"/>
        </w:rPr>
        <w:t xml:space="preserve">. Harvard University Press. </w:t>
      </w:r>
      <w:hyperlink r:id="rId14">
        <w:r w:rsidDel="00000000" w:rsidR="00000000" w:rsidRPr="00000000">
          <w:rPr>
            <w:rFonts w:ascii="Times New Roman" w:cs="Times New Roman" w:eastAsia="Times New Roman" w:hAnsi="Times New Roman"/>
            <w:color w:val="1155cc"/>
            <w:sz w:val="24"/>
            <w:szCs w:val="24"/>
            <w:u w:val="single"/>
            <w:rtl w:val="0"/>
          </w:rPr>
          <w:t xml:space="preserve">https://classes.matthewjbrown.net/teaching-files/hps/latour-SiA-pt1.pdf</w:t>
        </w:r>
      </w:hyperlink>
      <w:r w:rsidDel="00000000" w:rsidR="00000000" w:rsidRPr="00000000">
        <w:rPr>
          <w:rtl w:val="0"/>
        </w:rPr>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Levy, S. (1984). </w:t>
      </w:r>
      <w:r w:rsidDel="00000000" w:rsidR="00000000" w:rsidRPr="00000000">
        <w:rPr>
          <w:rFonts w:ascii="Times New Roman" w:cs="Times New Roman" w:eastAsia="Times New Roman" w:hAnsi="Times New Roman"/>
          <w:i w:val="1"/>
          <w:iCs w:val="1"/>
          <w:color w:val="1b1c1d"/>
          <w:sz w:val="24"/>
          <w:szCs w:val="24"/>
          <w:rtl w:val="0"/>
        </w:rPr>
        <w:t xml:space="preserve">Hackers: Heroes of the Computer Revolution</w:t>
      </w:r>
      <w:r w:rsidDel="00000000" w:rsidR="00000000" w:rsidRPr="00000000">
        <w:rPr>
          <w:rFonts w:ascii="Times New Roman" w:cs="Times New Roman" w:eastAsia="Times New Roman" w:hAnsi="Times New Roman"/>
          <w:color w:val="1b1c1d"/>
          <w:sz w:val="24"/>
          <w:szCs w:val="24"/>
          <w:rtl w:val="0"/>
        </w:rPr>
        <w:t xml:space="preserve">. Anchor Press/Doubleday. </w:t>
      </w:r>
      <w:hyperlink r:id="rId15">
        <w:r w:rsidDel="00000000" w:rsidR="00000000" w:rsidRPr="00000000">
          <w:rPr>
            <w:rFonts w:ascii="Times New Roman" w:cs="Times New Roman" w:eastAsia="Times New Roman" w:hAnsi="Times New Roman"/>
            <w:color w:val="1155cc"/>
            <w:sz w:val="24"/>
            <w:szCs w:val="24"/>
            <w:u w:val="single"/>
            <w:rtl w:val="0"/>
          </w:rPr>
          <w:t xml:space="preserve">https://doc.lagout.org/network/2_Hack/Hackers%20Heroes%20of%20the%20Computer%20Revolution.pdf</w:t>
        </w:r>
      </w:hyperlink>
      <w:r w:rsidDel="00000000" w:rsidR="00000000" w:rsidRPr="00000000">
        <w:rPr>
          <w:rtl w:val="0"/>
        </w:rPr>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Locke, J. (1689). </w:t>
      </w:r>
      <w:r w:rsidDel="00000000" w:rsidR="00000000" w:rsidRPr="00000000">
        <w:rPr>
          <w:rFonts w:ascii="Times New Roman" w:cs="Times New Roman" w:eastAsia="Times New Roman" w:hAnsi="Times New Roman"/>
          <w:i w:val="1"/>
          <w:iCs w:val="1"/>
          <w:color w:val="1b1c1d"/>
          <w:sz w:val="24"/>
          <w:szCs w:val="24"/>
          <w:rtl w:val="0"/>
        </w:rPr>
        <w:t xml:space="preserve">Two Treatises of Government</w:t>
      </w:r>
      <w:r w:rsidDel="00000000" w:rsidR="00000000" w:rsidRPr="00000000">
        <w:rPr>
          <w:rFonts w:ascii="Times New Roman" w:cs="Times New Roman" w:eastAsia="Times New Roman" w:hAnsi="Times New Roman"/>
          <w:color w:val="1b1c1d"/>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https://www.yorku.ca/comninel/courses/3025pdf/Locke.pdf</w:t>
        </w:r>
      </w:hyperlink>
      <w:r w:rsidDel="00000000" w:rsidR="00000000" w:rsidRPr="00000000">
        <w:rPr>
          <w:rtl w:val="0"/>
        </w:rPr>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Popper, K. (1934). </w:t>
      </w:r>
      <w:r w:rsidDel="00000000" w:rsidR="00000000" w:rsidRPr="00000000">
        <w:rPr>
          <w:rFonts w:ascii="Times New Roman" w:cs="Times New Roman" w:eastAsia="Times New Roman" w:hAnsi="Times New Roman"/>
          <w:i w:val="1"/>
          <w:iCs w:val="1"/>
          <w:color w:val="1b1c1d"/>
          <w:sz w:val="24"/>
          <w:szCs w:val="24"/>
          <w:rtl w:val="0"/>
        </w:rPr>
        <w:t xml:space="preserve">Logik der Forschung</w:t>
      </w:r>
      <w:r w:rsidDel="00000000" w:rsidR="00000000" w:rsidRPr="00000000">
        <w:rPr>
          <w:rFonts w:ascii="Times New Roman" w:cs="Times New Roman" w:eastAsia="Times New Roman" w:hAnsi="Times New Roman"/>
          <w:color w:val="1b1c1d"/>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https://philotextes.info/spip/IMG/pdf/popper-logic-scientific-discovery.pdf </w:t>
        </w:r>
      </w:hyperlink>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Slaughter, S., &amp; Leslie, L. L. (1997). </w:t>
      </w:r>
      <w:r w:rsidDel="00000000" w:rsidR="00000000" w:rsidRPr="00000000">
        <w:rPr>
          <w:rFonts w:ascii="Times New Roman" w:cs="Times New Roman" w:eastAsia="Times New Roman" w:hAnsi="Times New Roman"/>
          <w:i w:val="1"/>
          <w:iCs w:val="1"/>
          <w:color w:val="1b1c1d"/>
          <w:sz w:val="24"/>
          <w:szCs w:val="24"/>
          <w:rtl w:val="0"/>
        </w:rPr>
        <w:t xml:space="preserve">Academic Capitalism: Politics, Policies, and the Entrepreneurial University</w:t>
      </w:r>
      <w:r w:rsidDel="00000000" w:rsidR="00000000" w:rsidRPr="00000000">
        <w:rPr>
          <w:rFonts w:ascii="Times New Roman" w:cs="Times New Roman" w:eastAsia="Times New Roman" w:hAnsi="Times New Roman"/>
          <w:color w:val="1b1c1d"/>
          <w:sz w:val="24"/>
          <w:szCs w:val="24"/>
          <w:rtl w:val="0"/>
        </w:rPr>
        <w:t xml:space="preserve">. Johns Hopkins University Press. </w:t>
      </w:r>
      <w:hyperlink r:id="rId18">
        <w:r w:rsidDel="00000000" w:rsidR="00000000" w:rsidRPr="00000000">
          <w:rPr>
            <w:rFonts w:ascii="Times New Roman" w:cs="Times New Roman" w:eastAsia="Times New Roman" w:hAnsi="Times New Roman"/>
            <w:color w:val="1155cc"/>
            <w:sz w:val="24"/>
            <w:szCs w:val="24"/>
            <w:u w:val="single"/>
            <w:rtl w:val="0"/>
          </w:rPr>
          <w:t xml:space="preserve">https://yvesgingras.uqam.ca/wp-content/uploads/sites/150/ACADEMIC-CAPITALISM.pdf</w:t>
        </w:r>
      </w:hyperlink>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Stallman, R. M. (1985). </w:t>
      </w:r>
      <w:r w:rsidDel="00000000" w:rsidR="00000000" w:rsidRPr="00000000">
        <w:rPr>
          <w:rFonts w:ascii="Times New Roman" w:cs="Times New Roman" w:eastAsia="Times New Roman" w:hAnsi="Times New Roman"/>
          <w:i w:val="1"/>
          <w:iCs w:val="1"/>
          <w:color w:val="1b1c1d"/>
          <w:sz w:val="24"/>
          <w:szCs w:val="24"/>
          <w:rtl w:val="0"/>
        </w:rPr>
        <w:t xml:space="preserve">The GNU Manifesto</w:t>
      </w:r>
      <w:r w:rsidDel="00000000" w:rsidR="00000000" w:rsidRPr="00000000">
        <w:rPr>
          <w:rFonts w:ascii="Times New Roman" w:cs="Times New Roman" w:eastAsia="Times New Roman" w:hAnsi="Times New Roman"/>
          <w:color w:val="1b1c1d"/>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http://dpya.org/wiki/index.php/1985_-_Manifiesto_GNU_-_Richard_Stallman</w:t>
        </w:r>
      </w:hyperlink>
      <w:r w:rsidDel="00000000" w:rsidR="00000000" w:rsidRPr="00000000">
        <w:rPr>
          <w:rtl w:val="0"/>
        </w:rPr>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1b1c1d"/>
          <w:sz w:val="24"/>
          <w:szCs w:val="24"/>
          <w:rtl w:val="0"/>
        </w:rPr>
        <w:t xml:space="preserve">Strathern, M. (2000). The Tyranny of Transparency. </w:t>
      </w:r>
      <w:r w:rsidDel="00000000" w:rsidR="00000000" w:rsidRPr="00000000">
        <w:rPr>
          <w:rFonts w:ascii="Times New Roman" w:cs="Times New Roman" w:eastAsia="Times New Roman" w:hAnsi="Times New Roman"/>
          <w:i w:val="1"/>
          <w:iCs w:val="1"/>
          <w:color w:val="1b1c1d"/>
          <w:sz w:val="24"/>
          <w:szCs w:val="24"/>
          <w:rtl w:val="0"/>
        </w:rPr>
        <w:t xml:space="preserve">British Educational Research Journal</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i w:val="1"/>
          <w:iCs w:val="1"/>
          <w:color w:val="1b1c1d"/>
          <w:sz w:val="24"/>
          <w:szCs w:val="24"/>
          <w:rtl w:val="0"/>
        </w:rPr>
        <w:t xml:space="preserve">26</w:t>
      </w:r>
      <w:r w:rsidDel="00000000" w:rsidR="00000000" w:rsidRPr="00000000">
        <w:rPr>
          <w:rFonts w:ascii="Times New Roman" w:cs="Times New Roman" w:eastAsia="Times New Roman" w:hAnsi="Times New Roman"/>
          <w:color w:val="1b1c1d"/>
          <w:sz w:val="24"/>
          <w:szCs w:val="24"/>
          <w:rtl w:val="0"/>
        </w:rPr>
        <w:t xml:space="preserve">(3), 309-321. </w:t>
      </w:r>
      <w:hyperlink r:id="rId20">
        <w:r w:rsidDel="00000000" w:rsidR="00000000" w:rsidRPr="00000000">
          <w:rPr>
            <w:rFonts w:ascii="Times New Roman" w:cs="Times New Roman" w:eastAsia="Times New Roman" w:hAnsi="Times New Roman"/>
            <w:color w:val="1155cc"/>
            <w:sz w:val="24"/>
            <w:szCs w:val="24"/>
            <w:u w:val="single"/>
            <w:rtl w:val="0"/>
          </w:rPr>
          <w:t xml:space="preserve">https://monoskop.org/images/d/d8/Strathern_Marilyn_2000_The_Tyranny_of_Transparency.pdf</w:t>
        </w:r>
      </w:hyperlink>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Rule="auto"/>
        <w:ind w:left="720" w:firstLine="0"/>
        <w:jc w:val="both"/>
        <w:rPr>
          <w:rFonts w:ascii="Times New Roman" w:cs="Times New Roman" w:eastAsia="Times New Roman" w:hAnsi="Times New Roman"/>
          <w:color w:val="1b1c1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onoskop.org/images/d/d8/Strathern_Marilyn_2000_The_Tyranny_of_Transparency.pdf" TargetMode="External"/><Relationship Id="rId11" Type="http://schemas.openxmlformats.org/officeDocument/2006/relationships/hyperlink" Target="https://archive.org/details/TheHackerEthicAndTheSpiritOfTheInformationAge/page/n47/mode/2up" TargetMode="External"/><Relationship Id="rId10" Type="http://schemas.openxmlformats.org/officeDocument/2006/relationships/hyperlink" Target="https://ia801302.us.archive.org/22/items/cu31924014578979/cu31924014578979.pdf" TargetMode="External"/><Relationship Id="rId13" Type="http://schemas.openxmlformats.org/officeDocument/2006/relationships/hyperlink" Target="https://www.lri.fr/~mbl/Stanford/CS477/papers/Kuhn-SSR-2ndEd.pdf" TargetMode="External"/><Relationship Id="rId12" Type="http://schemas.openxmlformats.org/officeDocument/2006/relationships/hyperlink" Target="https://dl1.cuni.cz/pluginfile.php/529416/mod_resource/content/0/8.%20Julia%20Kristeva%2C%20Desire%20in%20Language%20-%20A%20Semiotic%20Approach%20to%20Literature%20and%20A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ship.law.duke.edu/cgi/viewcontent.cgi?article=1273&amp;context=lcp" TargetMode="External"/><Relationship Id="rId15" Type="http://schemas.openxmlformats.org/officeDocument/2006/relationships/hyperlink" Target="https://doc.lagout.org/network/2_Hack/Hackers%20Heroes%20of%20the%20Computer%20Revolution.pdf" TargetMode="External"/><Relationship Id="rId14" Type="http://schemas.openxmlformats.org/officeDocument/2006/relationships/hyperlink" Target="https://classes.matthewjbrown.net/teaching-files/hps/latour-SiA-pt1.pdf" TargetMode="External"/><Relationship Id="rId17" Type="http://schemas.openxmlformats.org/officeDocument/2006/relationships/hyperlink" Target="https://philotextes.info/spip/IMG/pdf/popper-logic-scientific-discovery.pdf" TargetMode="External"/><Relationship Id="rId16" Type="http://schemas.openxmlformats.org/officeDocument/2006/relationships/hyperlink" Target="https://www.yorku.ca/comninel/courses/3025pdf/Locke.pdf" TargetMode="External"/><Relationship Id="rId5" Type="http://schemas.openxmlformats.org/officeDocument/2006/relationships/styles" Target="styles.xml"/><Relationship Id="rId19" Type="http://schemas.openxmlformats.org/officeDocument/2006/relationships/hyperlink" Target="http://dpya.org/wiki/index.php/1985_-_Manifiesto_GNU_-_Richard_Stallman" TargetMode="External"/><Relationship Id="rId6" Type="http://schemas.openxmlformats.org/officeDocument/2006/relationships/hyperlink" Target="https://hum.unne.edu.ar/asuntos/material/letras/la_muerte.pdf" TargetMode="External"/><Relationship Id="rId18" Type="http://schemas.openxmlformats.org/officeDocument/2006/relationships/hyperlink" Target="https://yvesgingras.uqam.ca/wp-content/uploads/sites/150/ACADEMIC-CAPITALISM.pdf" TargetMode="External"/><Relationship Id="rId7" Type="http://schemas.openxmlformats.org/officeDocument/2006/relationships/hyperlink" Target="https://www.benkler.org/Benkler_Wealth_Of_Networks.pdf" TargetMode="External"/><Relationship Id="rId8" Type="http://schemas.openxmlformats.org/officeDocument/2006/relationships/hyperlink" Target="https://economicsociology.org/wp-content/uploads/2018/08/bourdieu-the-specificity-of-the-scientific-field-and-the-social-conditions-of-the-progress-of-reas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