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نساعدك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]  [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]  (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وتفاصيلها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أعمالها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عملاؤنا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Testimonials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عملاؤنا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وحققوا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التذييل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فيسبوك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إنستغرام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لينكدإن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خدماتنا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دمشق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سوريا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+963 984 638 628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+963 958 921 597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arabi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b w:val="1"/>
          <w:rtl w:val="1"/>
        </w:rPr>
        <w:t xml:space="preserve">صفحة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أعمالك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ماركيتنغ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 –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الباقات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باقاتنا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ماركيتنغ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الانطلاقة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0"/>
        </w:rPr>
        <w:t xml:space="preserve">Launch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ألوان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تأسيس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إعلانية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للمنشورات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والإعلانات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أشهر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الريادة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0"/>
        </w:rPr>
        <w:t xml:space="preserve">Elite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وكتيبات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تصوير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وفيديوهات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استشارات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مدروس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]  [</w:t>
      </w: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ماركيتنغ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نترجم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ً)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أعمالنا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نؤمن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ماركيتنغ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قيمنا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قصتنا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ماركيتنغ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كفريق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وتقديمه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... (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2023: </w:t>
      </w:r>
      <w:r w:rsidDel="00000000" w:rsidR="00000000" w:rsidRPr="00000000">
        <w:rPr>
          <w:rtl w:val="1"/>
        </w:rPr>
        <w:t xml:space="preserve">التأسيس</w:t>
      </w:r>
      <w:r w:rsidDel="00000000" w:rsidR="00000000" w:rsidRPr="00000000">
        <w:rPr>
          <w:rtl w:val="1"/>
        </w:rPr>
        <w:t xml:space="preserve"> 2024: </w:t>
      </w:r>
      <w:r w:rsidDel="00000000" w:rsidR="00000000" w:rsidRPr="00000000">
        <w:rPr>
          <w:rtl w:val="1"/>
        </w:rPr>
        <w:t xml:space="preserve">شراكات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2025: </w:t>
      </w:r>
      <w:r w:rsidDel="00000000" w:rsidR="00000000" w:rsidRPr="00000000">
        <w:rPr>
          <w:rtl w:val="1"/>
        </w:rPr>
        <w:t xml:space="preserve">الانطلاق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قيمنا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نؤمن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الشباب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للجميع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الإنتاجية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والاحترافية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المجتمعية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إنجازاتنا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لعملائنا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وحققت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ً 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b w:val="1"/>
          <w:rtl w:val="1"/>
        </w:rPr>
        <w:t xml:space="preserve">صفحة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فريقنا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استفساراتك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ومساعدتك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دمشق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سوريا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  <w:t xml:space="preserve">+963 984 638 628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+963 958 921 597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arabi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