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438"/>
        <w:gridCol w:w="2600"/>
      </w:tblGrid>
      <w:tr>
        <w:tc>
          <w:tcPr>
            <w:tcW w:type="dxa" w:w="2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center"/>
            </w:pPr>
            <w:r>
              <w:rPr>
                <w:b/>
                <w:bCs/>
                <w:color w:val="FFFFFF"/>
                <w:sz w:val="20"/>
                <w:szCs w:val="20"/>
              </w:rPr>
              <w:t xml:space="preserve">GAMMA LOGISTIQUE SA</w:t>
            </w:r>
          </w:p>
          <w:p>
            <w:pPr>
              <w:jc w:val="center"/>
            </w:pPr>
            <w:r>
              <w:rPr>
                <w:b/>
                <w:bCs/>
                <w:color w:val="FFFFFF"/>
                <w:sz w:val="20"/>
                <w:szCs w:val="20"/>
              </w:rPr>
              <w:t xml:space="preserve">Port-Ouest — Pays</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bCs/>
                <w:sz w:val="24"/>
                <w:szCs w:val="24"/>
              </w:rPr>
              <w:t xml:space="preserve">PROCÉDURE</w:t>
            </w:r>
          </w:p>
          <w:p>
            <w:pPr>
              <w:jc w:val="center"/>
            </w:pPr>
            <w:r>
              <w:rPr>
                <w:b/>
                <w:bCs/>
                <w:sz w:val="24"/>
                <w:szCs w:val="24"/>
              </w:rPr>
              <w:t xml:space="preserve">GESTION DES ACHATS ET ÉVALUATION DES FOURNISSEURS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18"/>
                <w:szCs w:val="18"/>
              </w:rPr>
              <w:t xml:space="preserve">Code : PR-ACH-001</w:t>
            </w:r>
          </w:p>
          <w:p>
            <w:pPr>
              <w:jc w:val="left"/>
            </w:pPr>
            <w:r>
              <w:rPr>
                <w:b w:val="false"/>
                <w:bCs w:val="false"/>
                <w:sz w:val="18"/>
                <w:szCs w:val="18"/>
              </w:rPr>
              <w:t xml:space="preserve">Version : 02</w:t>
            </w:r>
          </w:p>
          <w:p>
            <w:pPr>
              <w:jc w:val="left"/>
            </w:pPr>
            <w:r>
              <w:rPr>
                <w:b w:val="false"/>
                <w:bCs w:val="false"/>
                <w:sz w:val="18"/>
                <w:szCs w:val="18"/>
              </w:rPr>
              <w:t xml:space="preserve">Date : 15/09/2026</w:t>
            </w:r>
          </w:p>
        </w:tc>
      </w:tr>
    </w:tbl>
    <w:p/>
    <w:p>
      <w:pPr>
        <w:pStyle w:val="Heading2"/>
      </w:pPr>
      <w:r>
        <w:t xml:space="preserve">Historique des révisions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438"/>
      </w:tblGrid>
      <w:tr>
        <w:trPr>
          <w:tblHeader/>
        </w:trPr>
        <w:tc>
          <w:tcPr>
            <w:tcW w:type="dxa" w:w="14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Version</w:t>
            </w:r>
          </w:p>
        </w:tc>
        <w:tc>
          <w:tcPr>
            <w:tcW w:type="dxa" w:w="18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Date</w:t>
            </w:r>
          </w:p>
        </w:tc>
        <w:tc>
          <w:tcPr>
            <w:tcW w:type="dxa" w:w="6438"/>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Nature de la modification</w:t>
            </w:r>
          </w:p>
        </w:tc>
      </w:tr>
      <w:t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10/03/2025</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Création du document</w:t>
            </w:r>
          </w:p>
        </w:tc>
      </w:tr>
      <w:t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02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15/09/2026</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Révision des seuils d'achat et ajout du critère HSE dans l'évaluation fournisseurs</w:t>
            </w:r>
          </w:p>
        </w:tc>
      </w:tr>
    </w:tbl>
    <w:p/>
    <w:p>
      <w:pPr>
        <w:pStyle w:val="Heading1"/>
      </w:pPr>
      <w:r>
        <w:t xml:space="preserve">1. Objet</w:t>
      </w:r>
    </w:p>
    <w:p>
      <w:pPr>
        <w:spacing w:after="120"/>
      </w:pPr>
      <w:r>
        <w:rPr>
          <w:sz w:val="22"/>
          <w:szCs w:val="22"/>
        </w:rPr>
        <w:t xml:space="preserve">Cette procédure définit les règles d'expression des besoins, de consultation, de sélection, de commande, de réception et d'évaluation des fournisseurs, afin de garantir des achats conformes aux besoins, au meilleur coût global et dans le respect des exigences qualité, sécurité et environnement de GAMMA LOGISTIQUE SA.</w:t>
      </w:r>
    </w:p>
    <w:p>
      <w:pPr>
        <w:pStyle w:val="Heading1"/>
      </w:pPr>
      <w:r>
        <w:t xml:space="preserve">2. Domaine d'application</w:t>
      </w:r>
    </w:p>
    <w:p>
      <w:pPr>
        <w:pStyle w:val="ListParagraph"/>
        <w:numPr>
          <w:ilvl w:val="0"/>
          <w:numId w:val="2"/>
        </w:numPr>
        <w:spacing w:after="60"/>
      </w:pPr>
      <w:r>
        <w:rPr>
          <w:sz w:val="22"/>
          <w:szCs w:val="22"/>
        </w:rPr>
        <w:t xml:space="preserve">Tous les achats de biens (pièces détachées, pneumatiques, gazole, lubrifiants, EPI, fournitures) et de services (maintenance, sous-traitance transport, prestations intellectuelles).</w:t>
      </w:r>
    </w:p>
    <w:p>
      <w:pPr>
        <w:pStyle w:val="ListParagraph"/>
        <w:numPr>
          <w:ilvl w:val="0"/>
          <w:numId w:val="2"/>
        </w:numPr>
        <w:spacing w:after="60"/>
      </w:pPr>
      <w:r>
        <w:rPr>
          <w:sz w:val="22"/>
          <w:szCs w:val="22"/>
        </w:rPr>
        <w:t xml:space="preserve">Tous les sites de l'entreprise : siège de Port-Ouest, dépôt de Zone Est et agence de Capitale.</w:t>
      </w:r>
    </w:p>
    <w:p>
      <w:pPr>
        <w:pStyle w:val="ListParagraph"/>
        <w:numPr>
          <w:ilvl w:val="0"/>
          <w:numId w:val="2"/>
        </w:numPr>
        <w:spacing w:after="60"/>
      </w:pPr>
      <w:r>
        <w:rPr>
          <w:sz w:val="22"/>
          <w:szCs w:val="22"/>
        </w:rPr>
        <w:t xml:space="preserve">Exclusions : salaires, impôts et taxes, loyers régis par contrat de bail.</w:t>
      </w:r>
    </w:p>
    <w:p>
      <w:pPr>
        <w:pStyle w:val="Heading1"/>
      </w:pPr>
      <w:r>
        <w:t xml:space="preserve">3. Documents de référence</w:t>
      </w:r>
    </w:p>
    <w:p>
      <w:pPr>
        <w:pStyle w:val="ListParagraph"/>
        <w:numPr>
          <w:ilvl w:val="0"/>
          <w:numId w:val="2"/>
        </w:numPr>
        <w:spacing w:after="60"/>
      </w:pPr>
      <w:r>
        <w:rPr>
          <w:sz w:val="22"/>
          <w:szCs w:val="22"/>
        </w:rPr>
        <w:t xml:space="preserve">ISO 9001:2015 — § 8.4 Maîtrise des processus, produits et services fournis par des prestataires externes.</w:t>
      </w:r>
    </w:p>
    <w:p>
      <w:pPr>
        <w:pStyle w:val="ListParagraph"/>
        <w:numPr>
          <w:ilvl w:val="0"/>
          <w:numId w:val="2"/>
        </w:numPr>
        <w:spacing w:after="60"/>
      </w:pPr>
      <w:r>
        <w:rPr>
          <w:sz w:val="22"/>
          <w:szCs w:val="22"/>
        </w:rPr>
        <w:t xml:space="preserve">ISO 45001:2018 — § 8.1.4 Achats.</w:t>
      </w:r>
    </w:p>
    <w:p>
      <w:pPr>
        <w:pStyle w:val="ListParagraph"/>
        <w:numPr>
          <w:ilvl w:val="0"/>
          <w:numId w:val="2"/>
        </w:numPr>
        <w:spacing w:after="60"/>
      </w:pPr>
      <w:r>
        <w:rPr>
          <w:sz w:val="22"/>
          <w:szCs w:val="22"/>
        </w:rPr>
        <w:t xml:space="preserve">Manuel Qualité GAMMA LOGISTIQUE (MQ-001).</w:t>
      </w:r>
    </w:p>
    <w:p>
      <w:pPr>
        <w:pStyle w:val="ListParagraph"/>
        <w:numPr>
          <w:ilvl w:val="0"/>
          <w:numId w:val="2"/>
        </w:numPr>
        <w:spacing w:after="60"/>
      </w:pPr>
      <w:r>
        <w:rPr>
          <w:sz w:val="22"/>
          <w:szCs w:val="22"/>
        </w:rPr>
        <w:t xml:space="preserve">Délégation de pouvoirs et grille d'autorisation financière (DG-POL-003).</w:t>
      </w:r>
    </w:p>
    <w:p>
      <w:pPr>
        <w:pStyle w:val="ListParagraph"/>
        <w:numPr>
          <w:ilvl w:val="0"/>
          <w:numId w:val="2"/>
        </w:numPr>
        <w:spacing w:after="60"/>
      </w:pPr>
      <w:r>
        <w:rPr>
          <w:sz w:val="22"/>
          <w:szCs w:val="22"/>
        </w:rPr>
        <w:t xml:space="preserve">Code de conduite fournisseurs (ACH-POL-002).</w:t>
      </w:r>
    </w:p>
    <w:p>
      <w:pPr>
        <w:pStyle w:val="Heading1"/>
      </w:pPr>
      <w:r>
        <w:t xml:space="preserve">4. Définitions et abréviations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Terme</w:t>
            </w:r>
          </w:p>
        </w:tc>
        <w:tc>
          <w:tcPr>
            <w:tcW w:type="dxa" w:w="7238"/>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Définition</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DA</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Demande d'Achat : formulaire par lequel un service exprime un besoin.</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BC</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Bon de Commande : document contractuel émis vers le fournisseur.</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BL</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Bon de Livraison remis par le fournisseur à la réception.</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Fournisseur agréé</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Fournisseur évalué et inscrit sur la Liste des Fournisseurs Agréés (LFA).</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Achat critique</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Achat ayant un impact direct sur la sécurité des opérations ou la conformité du service (freins, pneumatiques, EPI, gazole).</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Rapprochement 3 voies</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Contrôle de cohérence entre BC, BL et facture avant paiement.</w:t>
            </w:r>
          </w:p>
        </w:tc>
      </w:tr>
    </w:tbl>
    <w:p>
      <w:pPr>
        <w:pStyle w:val="Heading1"/>
      </w:pPr>
      <w:r>
        <w:t xml:space="preserve">5. Responsabilités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Fonction</w:t>
            </w:r>
          </w:p>
        </w:tc>
        <w:tc>
          <w:tcPr>
            <w:tcW w:type="dxa" w:w="6638"/>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Responsabilités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Demandeur (chef de service)</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Exprime le besoin, rédige la DA avec spécifications claires, participe à la réception technique.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Responsable Achats</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Consulte les fournisseurs, réalise l'analyse comparative, émet les BC, tient à jour la LFA, pilote l'évaluation fournisseurs.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Contrôleur de gestion</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Vérifie la disponibilité budgétaire.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Directeur Administratif et Financier (DAF)</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Valide les achats selon la grille d'autorisation ; autorise les paiements.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Directeur Général (DG)</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Préside la commission des achats ; valide les achats au-delà du seuil DAF.</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Magasinier / Réceptionnaire</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Contrôle quantitatif et qualitatif à la réception ; signe le BL.</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Responsable QHSE</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Définit les exigences HSE pour les achats critiques ; participe à l'évaluation fournisseurs.</w:t>
            </w:r>
          </w:p>
        </w:tc>
      </w:tr>
    </w:tbl>
    <w:p>
      <w:pPr>
        <w:pStyle w:val="Heading1"/>
      </w:pPr>
      <w:r>
        <w:t xml:space="preserve">6. Déroulement de la procédure</w:t>
      </w:r>
    </w:p>
    <w:p>
      <w:pPr>
        <w:pStyle w:val="Heading2"/>
      </w:pPr>
      <w:r>
        <w:t xml:space="preserve">6.1 Seuils et niveaux d'autorisation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c>
          <w:tcPr>
            <w:tcW w:type="dxa" w:w="2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tcPr>
          <w:p>
            <w:r>
              <w:rPr>
                <w:b/>
                <w:bCs/>
                <w:color w:val="FFFFFF"/>
                <w:sz w:val="20"/>
                <w:szCs w:val="20"/>
              </w:rPr>
              <w:t xml:space="preserve">Montant HT (FCFA)</w:t>
            </w:r>
          </w:p>
        </w:tc>
        <w:tc>
          <w:tcPr>
            <w:tcW w:type="dxa" w:w="2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tcPr>
          <w:p>
            <w:r>
              <w:rPr>
                <w:b/>
                <w:bCs/>
                <w:color w:val="FFFFFF"/>
                <w:sz w:val="20"/>
                <w:szCs w:val="20"/>
              </w:rPr>
              <w:t xml:space="preserve">Consultation</w:t>
            </w:r>
          </w:p>
        </w:tc>
        <w:tc>
          <w:tcPr>
            <w:tcW w:type="dxa" w:w="4438"/>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tcPr>
          <w:p>
            <w:r>
              <w:rPr>
                <w:b/>
                <w:bCs/>
                <w:color w:val="FFFFFF"/>
                <w:sz w:val="20"/>
                <w:szCs w:val="20"/>
              </w:rPr>
              <w:t xml:space="preserve">Validation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&lt; 500 000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1 devis minimum</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Chef de service + Responsable Achats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500 000 à 5 000 000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3 devis comparatifs</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DAF</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&gt; 5 000 000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Appel d'offres restreint (min. 3 fournisseurs)</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Commission des achats + DG</w:t>
            </w:r>
          </w:p>
        </w:tc>
      </w:tr>
    </w:tbl>
    <w:p/>
    <w:p>
      <w:pPr>
        <w:pStyle w:val="Heading2"/>
      </w:pPr>
      <w:r>
        <w:t xml:space="preserve">6.2 Processus d'achat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438"/>
        <w:gridCol w:w="2200"/>
        <w:gridCol w:w="2400"/>
      </w:tblGrid>
      <w:tr>
        <w:trPr>
          <w:tblHeader/>
        </w:trPr>
        <w:tc>
          <w:tcPr>
            <w:tcW w:type="dxa" w:w="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N°</w:t>
            </w:r>
          </w:p>
        </w:tc>
        <w:tc>
          <w:tcPr>
            <w:tcW w:type="dxa" w:w="4438"/>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Activité</w:t>
            </w:r>
          </w:p>
        </w:tc>
        <w:tc>
          <w:tcPr>
            <w:tcW w:type="dxa" w:w="22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Responsable</w:t>
            </w:r>
          </w:p>
        </w:tc>
        <w:tc>
          <w:tcPr>
            <w:tcW w:type="dxa" w:w="24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Document / Enregistrement</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1</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Exprimer le besoin : remplir la DA (désignation, quantité, spécifications, délai souhaité, imputation).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Demandeur</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DA (ACH-F-01)</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Vérifier la disponibilité budgétaire et viser la 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Contrôleur de gestion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DA visée</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3</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Consulter les fournisseurs selon le seuil applicable, en priorité dans la LFA.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Responsable Achats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Demandes de devis</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4</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Réaliser l'analyse comparative (prix, délai, qualité, conditions de paiement, exigences HSE).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Responsable Achats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Tableau comparatif (ACH-F-02)</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5</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Faire valider le choix selon la grille d'autorisation.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DAF / DG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Tableau comparatif signé</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6</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Émettre et transmettre le BC au fournisseur ; obtenir son accusé de réception.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Responsable Achats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BC (ACH-F-03)</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7</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Suivre l'exécution de la commande et relancer en cas de retard.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Responsable Achats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Tableau de suivi des commandes</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8</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Réceptionner : contrôle quantitatif (BL vs BC) et qualitatif (état, conformité, certificats).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Magasinier + Demandeur</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BL signé / PV de réception</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9</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Traiter les non-conformités : refus, réserve ou retour fournisseur.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Magasinier / Resp. Achats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Fiche de non-conformité</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10</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Effectuer le rapprochement 3 voies (BC / BL / facture) et transmettre pour paiement.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Comptabilité</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Facture visée</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11</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Autoriser et exécuter le paiement selon les conditions contractuelles.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DAF</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Ordre de virement</w:t>
            </w:r>
          </w:p>
        </w:tc>
      </w:tr>
    </w:tbl>
    <w:p/>
    <w:p>
      <w:pPr>
        <w:pStyle w:val="Heading2"/>
      </w:pPr>
      <w:r>
        <w:t xml:space="preserve">6.3 Achats urgents</w:t>
      </w:r>
    </w:p>
    <w:p>
      <w:pPr>
        <w:pStyle w:val="ListParagraph"/>
        <w:numPr>
          <w:ilvl w:val="0"/>
          <w:numId w:val="2"/>
        </w:numPr>
        <w:spacing w:after="60"/>
      </w:pPr>
      <w:r>
        <w:rPr>
          <w:sz w:val="22"/>
          <w:szCs w:val="22"/>
        </w:rPr>
        <w:t xml:space="preserve">En cas d'urgence opérationnelle avérée (véhicule immobilisé, risque sécurité), le chef de service peut engager un achat par téléphone dans la limite de 1 000 000 FCFA.</w:t>
      </w:r>
    </w:p>
    <w:p>
      <w:pPr>
        <w:pStyle w:val="ListParagraph"/>
        <w:numPr>
          <w:ilvl w:val="0"/>
          <w:numId w:val="2"/>
        </w:numPr>
        <w:spacing w:after="60"/>
      </w:pPr>
      <w:r>
        <w:rPr>
          <w:sz w:val="22"/>
          <w:szCs w:val="22"/>
        </w:rPr>
        <w:t xml:space="preserve">La DA et le BC sont régularisés dans un délai maximum de 48 heures ouvrées.</w:t>
      </w:r>
    </w:p>
    <w:p>
      <w:pPr>
        <w:pStyle w:val="ListParagraph"/>
        <w:numPr>
          <w:ilvl w:val="0"/>
          <w:numId w:val="2"/>
        </w:numPr>
        <w:spacing w:after="60"/>
      </w:pPr>
      <w:r>
        <w:rPr>
          <w:sz w:val="22"/>
          <w:szCs w:val="22"/>
        </w:rPr>
        <w:t xml:space="preserve">Le Responsable Achats présente un état mensuel des achats urgents au DAF.</w:t>
      </w:r>
    </w:p>
    <w:p/>
    <w:p>
      <w:pPr>
        <w:pStyle w:val="Heading2"/>
      </w:pPr>
      <w:r>
        <w:t xml:space="preserve">6.4 Sélection et évaluation des fournisseurs</w:t>
      </w:r>
    </w:p>
    <w:p>
      <w:pPr>
        <w:spacing w:after="120"/>
      </w:pPr>
      <w:r>
        <w:rPr>
          <w:sz w:val="22"/>
          <w:szCs w:val="22"/>
        </w:rPr>
        <w:t xml:space="preserve">Tout nouveau fournisseur d'achats critiques est évalué avant la première commande (questionnaire fournisseur, références, documents légaux, engagement HSE). Les fournisseurs actifs sont réévalués une fois par an selon les critères suivants (note sur 20)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4238"/>
      </w:tblGrid>
      <w:tr>
        <w:tc>
          <w:tcPr>
            <w:tcW w:type="dxa" w:w="38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tcPr>
          <w:p>
            <w:r>
              <w:rPr>
                <w:b/>
                <w:bCs/>
                <w:color w:val="FFFFFF"/>
                <w:sz w:val="20"/>
                <w:szCs w:val="20"/>
              </w:rPr>
              <w:t xml:space="preserve">Critère</w:t>
            </w:r>
          </w:p>
        </w:tc>
        <w:tc>
          <w:tcPr>
            <w:tcW w:type="dxa" w:w="1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tcPr>
          <w:p>
            <w:r>
              <w:rPr>
                <w:b/>
                <w:bCs/>
                <w:color w:val="FFFFFF"/>
                <w:sz w:val="20"/>
                <w:szCs w:val="20"/>
              </w:rPr>
              <w:t xml:space="preserve">Pondération</w:t>
            </w:r>
          </w:p>
        </w:tc>
        <w:tc>
          <w:tcPr>
            <w:tcW w:type="dxa" w:w="4238"/>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tcPr>
          <w:p>
            <w:r>
              <w:rPr>
                <w:b/>
                <w:bCs/>
                <w:color w:val="FFFFFF"/>
                <w:sz w:val="20"/>
                <w:szCs w:val="20"/>
              </w:rPr>
              <w:t xml:space="preserve">Éléments évalués</w:t>
            </w:r>
          </w:p>
        </w:tc>
      </w:tr>
      <w:t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Qualité / conformité</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35 %</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Taux de non-conformités, réclamations</w:t>
            </w:r>
          </w:p>
        </w:tc>
      </w:tr>
      <w:t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Respect des délais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25 %</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Taux de livraisons à l'heure</w:t>
            </w:r>
          </w:p>
        </w:tc>
      </w:tr>
      <w:t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Prix et conditions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20 %</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Compétitivité, délais de paiement</w:t>
            </w:r>
          </w:p>
        </w:tc>
      </w:tr>
      <w:t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HSE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20 %</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Incidents sur site, respect des règles, documents à jour</w:t>
            </w:r>
          </w:p>
        </w:tc>
      </w:tr>
    </w:tbl>
    <w:p/>
    <w:p>
      <w:pPr>
        <w:pStyle w:val="ListParagraph"/>
        <w:numPr>
          <w:ilvl w:val="0"/>
          <w:numId w:val="2"/>
        </w:numPr>
        <w:spacing w:after="60"/>
      </w:pPr>
      <w:r>
        <w:rPr>
          <w:sz w:val="22"/>
          <w:szCs w:val="22"/>
        </w:rPr>
        <w:t xml:space="preserve">Note ≥ 14/20 : fournisseur agréé, maintenu dans la LFA.</w:t>
      </w:r>
    </w:p>
    <w:p>
      <w:pPr>
        <w:pStyle w:val="ListParagraph"/>
        <w:numPr>
          <w:ilvl w:val="0"/>
          <w:numId w:val="2"/>
        </w:numPr>
        <w:spacing w:after="60"/>
      </w:pPr>
      <w:r>
        <w:rPr>
          <w:sz w:val="22"/>
          <w:szCs w:val="22"/>
        </w:rPr>
        <w:t xml:space="preserve">Note entre 10 et 13,9/20 : fournisseur sous surveillance, plan d'amélioration demandé.</w:t>
      </w:r>
    </w:p>
    <w:p>
      <w:pPr>
        <w:pStyle w:val="ListParagraph"/>
        <w:numPr>
          <w:ilvl w:val="0"/>
          <w:numId w:val="2"/>
        </w:numPr>
        <w:spacing w:after="60"/>
      </w:pPr>
      <w:r>
        <w:rPr>
          <w:sz w:val="22"/>
          <w:szCs w:val="22"/>
        </w:rPr>
        <w:t xml:space="preserve">Note &lt; 10/20 : fournisseur retiré de la LFA.</w:t>
      </w:r>
    </w:p>
    <w:p/>
    <w:p>
      <w:pPr>
        <w:pStyle w:val="Heading1"/>
      </w:pPr>
      <w:r>
        <w:t xml:space="preserve">7. Enregistrements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900"/>
        <w:gridCol w:w="1938"/>
      </w:tblGrid>
      <w:tr>
        <w:trPr>
          <w:tblHeader/>
        </w:trPr>
        <w:tc>
          <w:tcPr>
            <w:tcW w:type="dxa" w:w="32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Enregistrement</w:t>
            </w:r>
          </w:p>
        </w:tc>
        <w:tc>
          <w:tcPr>
            <w:tcW w:type="dxa" w:w="2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Responsable archivage</w:t>
            </w:r>
          </w:p>
        </w:tc>
        <w:tc>
          <w:tcPr>
            <w:tcW w:type="dxa" w:w="19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Support</w:t>
            </w:r>
          </w:p>
        </w:tc>
        <w:tc>
          <w:tcPr>
            <w:tcW w:type="dxa" w:w="1938"/>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Durée</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Demandes d'achat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Responsable Achats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Papier + ERP</w:t>
            </w:r>
          </w:p>
        </w:tc>
        <w:tc>
          <w:tcPr>
            <w:tcW w:type="dxa" w:w="19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5 ans</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Tableaux comparatifs et devis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Responsable Achats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Numérique</w:t>
            </w:r>
          </w:p>
        </w:tc>
        <w:tc>
          <w:tcPr>
            <w:tcW w:type="dxa" w:w="19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5 ans</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Bons de commande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Responsable Achats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ERP</w:t>
            </w:r>
          </w:p>
        </w:tc>
        <w:tc>
          <w:tcPr>
            <w:tcW w:type="dxa" w:w="19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10 ans</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BL / PV de réception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Magasinier</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Papier</w:t>
            </w:r>
          </w:p>
        </w:tc>
        <w:tc>
          <w:tcPr>
            <w:tcW w:type="dxa" w:w="19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5 ans</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Évaluations fournisseurs et LFA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Responsable Achats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Numérique</w:t>
            </w:r>
          </w:p>
        </w:tc>
        <w:tc>
          <w:tcPr>
            <w:tcW w:type="dxa" w:w="19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5 ans</w:t>
            </w:r>
          </w:p>
        </w:tc>
      </w:tr>
    </w:tbl>
    <w:p>
      <w:pPr>
        <w:pStyle w:val="Heading1"/>
      </w:pPr>
      <w:r>
        <w:t xml:space="preserve">8. Indicateurs de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838"/>
      </w:tblGrid>
      <w:tr>
        <w:trPr>
          <w:tblHeader/>
        </w:trPr>
        <w:tc>
          <w:tcPr>
            <w:tcW w:type="dxa" w:w="40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Indicateur</w:t>
            </w:r>
          </w:p>
        </w:tc>
        <w:tc>
          <w:tcPr>
            <w:tcW w:type="dxa" w:w="28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Cible</w:t>
            </w:r>
          </w:p>
        </w:tc>
        <w:tc>
          <w:tcPr>
            <w:tcW w:type="dxa" w:w="2838"/>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Fréquence</w:t>
            </w:r>
          </w:p>
        </w:tc>
      </w:tr>
      <w:t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Délai moyen DA → BC</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 5 jours ouvrés</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Mensuelle</w:t>
            </w:r>
          </w:p>
        </w:tc>
      </w:tr>
      <w:t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Taux de livraisons conformes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 95 %</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Mensuelle</w:t>
            </w:r>
          </w:p>
        </w:tc>
      </w:tr>
      <w:t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Taux d'achats urgents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 10 % des commandes</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Mensuelle</w:t>
            </w:r>
          </w:p>
        </w:tc>
      </w:tr>
      <w:t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Fournisseurs critiques évalués dans l'année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100 %</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Annuelle</w:t>
            </w:r>
          </w:p>
        </w:tc>
      </w:tr>
    </w:tbl>
    <w:p>
      <w:pPr>
        <w:pStyle w:val="Heading1"/>
      </w:pPr>
      <w:r>
        <w:t xml:space="preserve">9. Annexes</w:t>
      </w:r>
    </w:p>
    <w:p>
      <w:pPr>
        <w:pStyle w:val="ListParagraph"/>
        <w:numPr>
          <w:ilvl w:val="0"/>
          <w:numId w:val="2"/>
        </w:numPr>
        <w:spacing w:after="60"/>
      </w:pPr>
      <w:r>
        <w:rPr>
          <w:sz w:val="22"/>
          <w:szCs w:val="22"/>
        </w:rPr>
        <w:t xml:space="preserve">ACH-F-01 Demande d'achat</w:t>
      </w:r>
    </w:p>
    <w:p>
      <w:pPr>
        <w:pStyle w:val="ListParagraph"/>
        <w:numPr>
          <w:ilvl w:val="0"/>
          <w:numId w:val="2"/>
        </w:numPr>
        <w:spacing w:after="60"/>
      </w:pPr>
      <w:r>
        <w:rPr>
          <w:sz w:val="22"/>
          <w:szCs w:val="22"/>
        </w:rPr>
        <w:t xml:space="preserve">ACH-F-02 Tableau comparatif des offres</w:t>
      </w:r>
    </w:p>
    <w:p>
      <w:pPr>
        <w:pStyle w:val="ListParagraph"/>
        <w:numPr>
          <w:ilvl w:val="0"/>
          <w:numId w:val="2"/>
        </w:numPr>
        <w:spacing w:after="60"/>
      </w:pPr>
      <w:r>
        <w:rPr>
          <w:sz w:val="22"/>
          <w:szCs w:val="22"/>
        </w:rPr>
        <w:t xml:space="preserve">ACH-F-03 Bon de commande</w:t>
      </w:r>
    </w:p>
    <w:p>
      <w:pPr>
        <w:pStyle w:val="ListParagraph"/>
        <w:numPr>
          <w:ilvl w:val="0"/>
          <w:numId w:val="2"/>
        </w:numPr>
        <w:spacing w:after="60"/>
      </w:pPr>
      <w:r>
        <w:rPr>
          <w:sz w:val="22"/>
          <w:szCs w:val="22"/>
        </w:rPr>
        <w:t xml:space="preserve">ACH-F-04 Grille d'évaluation fournisseur</w:t>
      </w:r>
    </w:p>
    <w:p>
      <w:pPr>
        <w:pStyle w:val="ListParagraph"/>
        <w:numPr>
          <w:ilvl w:val="0"/>
          <w:numId w:val="2"/>
        </w:numPr>
        <w:spacing w:after="60"/>
      </w:pPr>
      <w:r>
        <w:rPr>
          <w:sz w:val="22"/>
          <w:szCs w:val="22"/>
        </w:rPr>
        <w:t xml:space="preserve">ACH-F-05 Liste des fournisseurs agréés</w:t>
      </w:r>
    </w:p>
    <w:p/>
    <w:p>
      <w:pPr>
        <w:pStyle w:val="Heading2"/>
      </w:pPr>
      <w:r>
        <w:t xml:space="preserve">Approbation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Rédigé par</w:t>
            </w:r>
          </w:p>
        </w:tc>
        <w:tc>
          <w:tcPr>
            <w:tcW w:type="dxa" w:w="3213"/>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Vérifié par</w:t>
            </w:r>
          </w:p>
        </w:tc>
        <w:tc>
          <w:tcPr>
            <w:tcW w:type="dxa" w:w="3213"/>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jc w:val="left"/>
            </w:pPr>
            <w:r>
              <w:rPr>
                <w:b/>
                <w:bCs/>
                <w:color w:val="FFFFFF"/>
                <w:sz w:val="20"/>
                <w:szCs w:val="20"/>
              </w:rPr>
              <w:t xml:space="preserve">Approuvé par</w:t>
            </w:r>
          </w:p>
        </w:tc>
      </w:tr>
      <w:tr>
        <w:tc>
          <w:tcPr>
            <w:tcW w:type="dxa" w:w="32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Responsable Achats — E. DURAND</w:t>
            </w:r>
          </w:p>
        </w:tc>
        <w:tc>
          <w:tcPr>
            <w:tcW w:type="dxa" w:w="3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Responsable QHSE — P. LEROY</w:t>
            </w:r>
          </w:p>
        </w:tc>
        <w:tc>
          <w:tcPr>
            <w:tcW w:type="dxa" w:w="3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Directeur Général — J. MOREAU</w:t>
            </w:r>
          </w:p>
        </w:tc>
      </w:tr>
      <w:tr>
        <w:tc>
          <w:tcPr>
            <w:tcW w:type="dxa" w:w="32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Date : 15/09/2026</w:t>
            </w:r>
          </w:p>
        </w:tc>
        <w:tc>
          <w:tcPr>
            <w:tcW w:type="dxa" w:w="3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Date : 15/09/2026</w:t>
            </w:r>
          </w:p>
        </w:tc>
        <w:tc>
          <w:tcPr>
            <w:tcW w:type="dxa" w:w="3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Date : 15/09/2026</w:t>
            </w:r>
          </w:p>
        </w:tc>
      </w:tr>
      <w:tr>
        <w:tc>
          <w:tcPr>
            <w:tcW w:type="dxa" w:w="32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Visa :</w:t>
            </w:r>
          </w:p>
        </w:tc>
        <w:tc>
          <w:tcPr>
            <w:tcW w:type="dxa" w:w="3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Visa :</w:t>
            </w:r>
          </w:p>
        </w:tc>
        <w:tc>
          <w:tcPr>
            <w:tcW w:type="dxa" w:w="3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sz w:val="20"/>
                <w:szCs w:val="20"/>
              </w:rPr>
              <w:t xml:space="preserve">Visa :</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Document maîtrisé — toute copie imprimée est non contrôlée — 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GAMMA LOGISTIQUE SA — PR-ACH-001 — Gestion des achats et évaluation des fournisseurs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80"/>
      <w:outlineLvl w:val="0"/>
    </w:pPr>
    <w:rPr>
      <w:b/>
      <w:bCs/>
      <w:color w:val="1F4E79"/>
      <w:sz w:val="26"/>
      <w:szCs w:val="26"/>
    </w:rPr>
  </w:style>
  <w:style w:type="paragraph" w:styleId="Heading2">
    <w:name w:val="Heading 2"/>
    <w:basedOn w:val="Normal"/>
    <w:next w:val="Normal"/>
    <w:qFormat/>
    <w:pPr>
      <w:keepNext/>
      <w:keepLines/>
      <w:spacing w:after="100" w:before="200"/>
      <w:outlineLvl w:val="1"/>
    </w:pPr>
    <w:rPr>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des achats et évaluation des fournisseurs</dc:title>
  <dc:creator>GAMMA LOGISTIQUE SA</dc:creator>
  <cp:lastModifiedBy>Un-named</cp:lastModifiedBy>
  <cp:revision>1</cp:revision>
  <dcterms:created xsi:type="dcterms:W3CDTF">2026-10-28T08:15:59.793Z</dcterms:created>
  <dcterms:modified xsi:type="dcterms:W3CDTF">2026-10-28T08:15:59.794Z</dcterms:modified>
</cp:coreProperties>
</file>

<file path=docProps/custom.xml><?xml version="1.0" encoding="utf-8"?>
<Properties xmlns="http://schemas.openxmlformats.org/officeDocument/2006/custom-properties" xmlns:vt="http://schemas.openxmlformats.org/officeDocument/2006/docPropsVTypes"/>
</file>