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Client: J. Doe (fictional sample)</w:t>
      </w:r>
    </w:p>
    <w:p>
      <w:r>
        <w:t>Intake: 14 March</w:t>
      </w:r>
    </w:p>
    <w:p>
      <w:r>
        <w:t>Presenting concern: persistent difficulty sleeping for roughly eight months, described as a mind that 'will not switch off' at night. Reports irritability during the day and a sense of being stretched thin by work and caregiving.</w:t>
      </w:r>
    </w:p>
    <w:p>
      <w:r>
        <w:t>Session 1: Discussed onset, which coincided with a change of role at work. Prescribed Balancer and Tranquility, twice daily.</w:t>
      </w:r>
    </w:p>
    <w:p>
      <w:r>
        <w:t>Session 2 (4 weeks): Reports falling asleep more easily, still waking around 3am. Added Steadiness. Noted she felt 'less braced' generally.</w:t>
      </w:r>
    </w:p>
    <w:p>
      <w:r>
        <w:t>Session 3 (10 weeks): Sleeping through most nights. Describes feeling more able to put work down at the end of the day. Continued Balancer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