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64" w:type="dxa"/>
        <w:tblCellSpacing w:w="0" w:type="dxa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817"/>
        <w:gridCol w:w="9356"/>
        <w:gridCol w:w="40"/>
      </w:tblGrid>
      <w:tr w:rsidR="002F7601" w:rsidRPr="002F7601" w:rsidTr="00986D72">
        <w:trPr>
          <w:gridBefore w:val="1"/>
          <w:gridAfter w:val="1"/>
          <w:wBefore w:w="451" w:type="dxa"/>
          <w:wAfter w:w="40" w:type="dxa"/>
          <w:tblCellSpacing w:w="0" w:type="dxa"/>
        </w:trPr>
        <w:tc>
          <w:tcPr>
            <w:tcW w:w="111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F7601" w:rsidRDefault="002F7601" w:rsidP="002F7601">
            <w:pPr>
              <w:spacing w:after="0" w:line="405" w:lineRule="atLeast"/>
              <w:outlineLvl w:val="1"/>
              <w:rPr>
                <w:rFonts w:ascii="Verdana" w:eastAsia="Times New Roman" w:hAnsi="Verdana" w:cs="Helvetica"/>
                <w:color w:val="329AB8"/>
                <w:kern w:val="36"/>
                <w:sz w:val="38"/>
                <w:szCs w:val="38"/>
              </w:rPr>
            </w:pPr>
            <w:bookmarkStart w:id="0" w:name="_GoBack"/>
            <w:bookmarkEnd w:id="0"/>
            <w:r w:rsidRPr="002F7601">
              <w:rPr>
                <w:rFonts w:ascii="Verdana" w:eastAsia="Times New Roman" w:hAnsi="Verdana" w:cs="Helvetica"/>
                <w:color w:val="329AB8"/>
                <w:kern w:val="36"/>
                <w:sz w:val="38"/>
                <w:szCs w:val="38"/>
              </w:rPr>
              <w:t>Scientific Program of LAA 2013</w:t>
            </w:r>
          </w:p>
          <w:p w:rsidR="002F7601" w:rsidRPr="002F7601" w:rsidRDefault="002F7601" w:rsidP="002F7601">
            <w:pPr>
              <w:spacing w:after="0" w:line="405" w:lineRule="atLeast"/>
              <w:outlineLvl w:val="1"/>
              <w:rPr>
                <w:rFonts w:ascii="Verdana" w:eastAsia="Times New Roman" w:hAnsi="Verdana" w:cs="Helvetica"/>
                <w:color w:val="329AB8"/>
                <w:kern w:val="36"/>
                <w:sz w:val="12"/>
                <w:szCs w:val="38"/>
              </w:rPr>
            </w:pPr>
          </w:p>
        </w:tc>
      </w:tr>
      <w:tr w:rsidR="002F7601" w:rsidRPr="002F7601" w:rsidTr="00986D72">
        <w:trPr>
          <w:gridAfter w:val="1"/>
          <w:wAfter w:w="40" w:type="dxa"/>
          <w:tblCellSpacing w:w="0" w:type="dxa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601" w:rsidRPr="002F7601" w:rsidRDefault="002F7601" w:rsidP="002F7601">
            <w:pPr>
              <w:spacing w:after="240" w:line="240" w:lineRule="atLeast"/>
              <w:jc w:val="center"/>
              <w:outlineLvl w:val="2"/>
              <w:rPr>
                <w:rFonts w:ascii="Verdana" w:eastAsia="Times New Roman" w:hAnsi="Verdana" w:cs="Helvetica"/>
                <w:b/>
                <w:bCs/>
                <w:color w:val="4C4B4A"/>
                <w:sz w:val="17"/>
                <w:szCs w:val="17"/>
              </w:rPr>
            </w:pPr>
            <w:bookmarkStart w:id="1" w:name="Friday"/>
            <w:bookmarkEnd w:id="1"/>
            <w:r w:rsidRPr="002F7601">
              <w:rPr>
                <w:rFonts w:ascii="Verdana" w:eastAsia="Times New Roman" w:hAnsi="Verdana" w:cs="Helvetica"/>
                <w:b/>
                <w:bCs/>
                <w:color w:val="4C4B4A"/>
                <w:sz w:val="17"/>
                <w:szCs w:val="17"/>
              </w:rPr>
              <w:t>Friday,</w:t>
            </w:r>
            <w:r w:rsidRPr="002F7601">
              <w:rPr>
                <w:rFonts w:ascii="Verdana" w:eastAsia="Times New Roman" w:hAnsi="Verdana" w:cs="Helvetica"/>
                <w:b/>
                <w:bCs/>
                <w:color w:val="4C4B4A"/>
                <w:sz w:val="17"/>
                <w:szCs w:val="17"/>
              </w:rPr>
              <w:br/>
              <w:t>November 22nd, 2013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8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3"/>
              <w:gridCol w:w="7850"/>
            </w:tblGrid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08:05 - 09:15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1 -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>Transseptal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 Puncture: Step by Step and Advanced Tricks and Tips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Devices for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Transseptal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Puncture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How to do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transseptal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puncture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How to Prevent and Manage Perforation,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Tamponade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, Clot and other complications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Case Examples and advanced tricks and tips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09:00 - 18:00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WATCHMAN™ Implant simulation workshop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09:00 - 18:00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AMPLATZER Cardiac Plug Virtual Reality Training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09:00 - 18:00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proofErr w:type="spellStart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>CoherexWaveCrest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 Virtual Reality workshop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09:15 - 10:30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2 -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>Preprocedural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 LAA Imaging and Follow-up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TEE before LAA Closure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Intraprocedural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angiography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Echo –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fluoro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overlay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TEE Follow-up: Thrombus and residual leak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ICE Guidance: Different techniques, results, limitations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Is there a place for other imaging techniques (MRI, CT,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Dyna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-CT, …)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10:30 - 11:00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Coffee &amp; Tea Break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11:00 - 12:30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3 - How to Implant the Watchman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Why the Watchman was designed as it is and how it compares to other devices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How to select patients for the Watchman device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Watchman step by step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Challenging Cases and Complications - • Access Problems </w:t>
                  </w:r>
                </w:p>
                <w:p w:rsidR="002F7601" w:rsidRPr="002F7601" w:rsidRDefault="002F7601" w:rsidP="002F7601">
                  <w:pPr>
                    <w:numPr>
                      <w:ilvl w:val="0"/>
                      <w:numId w:val="1"/>
                    </w:numPr>
                    <w:spacing w:after="240" w:line="240" w:lineRule="atLeast"/>
                    <w:ind w:left="225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12:30 - 13:30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Lunch Break and Industry Exhibition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13:30 - 15:30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4 - How to Implant the Amulet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Why the Amulet was designed as it is and how it compares to other devices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How to select patients for the Amulet device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Amulet step by step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Challenging Cases</w:t>
                  </w:r>
                </w:p>
                <w:p w:rsidR="002F7601" w:rsidRPr="002F7601" w:rsidRDefault="002F7601" w:rsidP="002F7601">
                  <w:pPr>
                    <w:numPr>
                      <w:ilvl w:val="0"/>
                      <w:numId w:val="2"/>
                    </w:numPr>
                    <w:spacing w:after="240" w:line="240" w:lineRule="atLeast"/>
                    <w:ind w:left="225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15:30 - 16:00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Coffee &amp; Tea Break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16:00 - 17:50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5 - How to Close the LAA With the Lariat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Why the Lariat was designed as it is and how it compares to other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transpericardial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devices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How to select patients for the Lariat device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How to do pericardial access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lastRenderedPageBreak/>
                    <w:t xml:space="preserve">Lariat step by step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Challenging Cases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18:00 - 19:00</w:t>
                  </w: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6 - How to Implant the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>Coherex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>WaveCrest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Why the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WaveCrest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was designed as it is and how it compares to other devices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How to select patients for the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WaveCrest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device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WaveCrest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step by step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7850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</w:tbl>
          <w:p w:rsidR="002F7601" w:rsidRPr="002F7601" w:rsidRDefault="002F7601" w:rsidP="002F7601">
            <w:pPr>
              <w:spacing w:after="0" w:line="240" w:lineRule="auto"/>
              <w:rPr>
                <w:rFonts w:ascii="Verdana" w:eastAsia="Times New Roman" w:hAnsi="Verdana" w:cs="Helvetica"/>
                <w:color w:val="4C4B4A"/>
                <w:sz w:val="18"/>
                <w:szCs w:val="18"/>
              </w:rPr>
            </w:pPr>
          </w:p>
        </w:tc>
      </w:tr>
      <w:tr w:rsidR="002F7601" w:rsidRPr="002F7601" w:rsidTr="00986D72">
        <w:trPr>
          <w:gridAfter w:val="1"/>
          <w:wAfter w:w="40" w:type="dxa"/>
          <w:tblCellSpacing w:w="0" w:type="dxa"/>
        </w:trPr>
        <w:tc>
          <w:tcPr>
            <w:tcW w:w="11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601" w:rsidRPr="002F7601" w:rsidRDefault="002F7601" w:rsidP="002F7601">
            <w:pPr>
              <w:spacing w:after="0" w:line="240" w:lineRule="auto"/>
              <w:rPr>
                <w:rFonts w:ascii="Verdana" w:eastAsia="Times New Roman" w:hAnsi="Verdana" w:cs="Helvetica"/>
                <w:color w:val="4C4B4A"/>
                <w:sz w:val="18"/>
                <w:szCs w:val="18"/>
              </w:rPr>
            </w:pPr>
            <w:r w:rsidRPr="002F7601">
              <w:rPr>
                <w:rFonts w:ascii="Verdana" w:eastAsia="Times New Roman" w:hAnsi="Verdana" w:cs="Helvetica"/>
                <w:color w:val="4C4B4A"/>
                <w:sz w:val="18"/>
                <w:szCs w:val="18"/>
              </w:rPr>
              <w:lastRenderedPageBreak/>
              <w:t> </w:t>
            </w:r>
          </w:p>
        </w:tc>
      </w:tr>
      <w:tr w:rsidR="002F7601" w:rsidRPr="002F7601" w:rsidTr="00986D72">
        <w:trPr>
          <w:tblCellSpacing w:w="0" w:type="dxa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601" w:rsidRPr="002F7601" w:rsidRDefault="002F7601" w:rsidP="002F7601">
            <w:pPr>
              <w:spacing w:after="240" w:line="240" w:lineRule="atLeast"/>
              <w:jc w:val="center"/>
              <w:outlineLvl w:val="2"/>
              <w:rPr>
                <w:rFonts w:ascii="Verdana" w:eastAsia="Times New Roman" w:hAnsi="Verdana" w:cs="Helvetica"/>
                <w:b/>
                <w:bCs/>
                <w:color w:val="4C4B4A"/>
                <w:sz w:val="17"/>
                <w:szCs w:val="17"/>
              </w:rPr>
            </w:pPr>
            <w:bookmarkStart w:id="2" w:name="Saturday"/>
            <w:bookmarkEnd w:id="2"/>
            <w:r w:rsidRPr="002F7601">
              <w:rPr>
                <w:rFonts w:ascii="Verdana" w:eastAsia="Times New Roman" w:hAnsi="Verdana" w:cs="Helvetica"/>
                <w:b/>
                <w:bCs/>
                <w:color w:val="4C4B4A"/>
                <w:sz w:val="17"/>
                <w:szCs w:val="17"/>
              </w:rPr>
              <w:t>Saturday,</w:t>
            </w:r>
            <w:r w:rsidRPr="002F7601">
              <w:rPr>
                <w:rFonts w:ascii="Verdana" w:eastAsia="Times New Roman" w:hAnsi="Verdana" w:cs="Helvetica"/>
                <w:b/>
                <w:bCs/>
                <w:color w:val="4C4B4A"/>
                <w:sz w:val="17"/>
                <w:szCs w:val="17"/>
              </w:rPr>
              <w:br/>
              <w:t>November 23rd, 2013</w:t>
            </w:r>
          </w:p>
        </w:tc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802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3"/>
              <w:gridCol w:w="6192"/>
            </w:tblGrid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08:00 - 10:00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7 - When and why to close the LAA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Stroke and Bleeding Risk in Lone Atrial Fibrillation Patients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Antithrombotic therapy in patients with stents and atrial fibrillation: is LAA closure an alternative?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LAA closure in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valvular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atrial fibrillation?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LAA closure before or after ablation: in whom and when?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Debate</w:t>
                  </w:r>
                </w:p>
                <w:p w:rsidR="002F7601" w:rsidRPr="002F7601" w:rsidRDefault="002F7601" w:rsidP="002F7601">
                  <w:pPr>
                    <w:numPr>
                      <w:ilvl w:val="0"/>
                      <w:numId w:val="3"/>
                    </w:numPr>
                    <w:spacing w:after="240" w:line="240" w:lineRule="atLeast"/>
                    <w:ind w:left="225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LAA closure only if anticoagulants are contraindicated</w:t>
                  </w:r>
                </w:p>
                <w:p w:rsidR="002F7601" w:rsidRPr="002F7601" w:rsidRDefault="002F7601" w:rsidP="002F7601">
                  <w:pPr>
                    <w:numPr>
                      <w:ilvl w:val="0"/>
                      <w:numId w:val="3"/>
                    </w:numPr>
                    <w:spacing w:after="240" w:line="240" w:lineRule="atLeast"/>
                    <w:ind w:left="225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LAA closure for all patients with lone atrial fibrillation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09:00 - 16:00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WATCHMAN™ Implant simulation workshop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09:00 - 16:00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AMPLATZER Cardiac Plug Virtual Reality Training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10:00 - 10:30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Coffee &amp; Tea Break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10:30 - 12:20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8 - Building a Program, Device Selection and Special Considerations </w:t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The team perspective - how to build a referral network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Which device for which LAA?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When and how to close residual leaks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12:30 - 13:15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Lunch Break and Industry Exhibition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13:15 - 14:15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9 - The Evidence for LAA Closure and Alternative Treatments </w:t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The current evidence for LAA closure with the ACP/Amulet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The current evidence for LAA closure with the Lariat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Advantages and limitations of surgical LAA closure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closure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?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Debate</w:t>
                  </w:r>
                </w:p>
                <w:p w:rsidR="002F7601" w:rsidRPr="002F7601" w:rsidRDefault="002F7601" w:rsidP="002F7601">
                  <w:pPr>
                    <w:numPr>
                      <w:ilvl w:val="0"/>
                      <w:numId w:val="4"/>
                    </w:numPr>
                    <w:spacing w:after="240" w:line="240" w:lineRule="atLeast"/>
                    <w:ind w:left="225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New oral anticoagulants have to be tested against LAA closure </w:t>
                  </w:r>
                </w:p>
                <w:p w:rsidR="002F7601" w:rsidRPr="002F7601" w:rsidRDefault="002F7601" w:rsidP="002F7601">
                  <w:pPr>
                    <w:numPr>
                      <w:ilvl w:val="0"/>
                      <w:numId w:val="4"/>
                    </w:numPr>
                    <w:spacing w:after="240" w:line="240" w:lineRule="atLeast"/>
                    <w:ind w:left="225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lastRenderedPageBreak/>
                    <w:t>We already have enough evidence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14:15 - 15:30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10 - New Devices and Techniques </w:t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The new PFM LAA occlude: pre-clinical results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Lifetech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 LAA closure device: Initial Human Experience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LAA Closure With the AEGIS system: initial human experience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 xml:space="preserve">Other LAA closure devices and techniques in early stages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15:30 - 16:00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Coffee &amp; Tea Break </w:t>
                  </w: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shd w:val="clear" w:color="auto" w:fill="EBEBEB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shd w:val="clear" w:color="auto" w:fill="EBEBEB"/>
                  <w:hideMark/>
                </w:tcPr>
                <w:p w:rsidR="002F7601" w:rsidRPr="002F7601" w:rsidRDefault="002F7601" w:rsidP="002F760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</w:tc>
            </w:tr>
            <w:tr w:rsidR="002F7601" w:rsidRPr="002F7601" w:rsidTr="00986D72"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single" w:sz="6" w:space="0" w:color="C5C5C5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jc w:val="center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t>16:00 - 18:00</w:t>
                  </w:r>
                </w:p>
              </w:tc>
              <w:tc>
                <w:tcPr>
                  <w:tcW w:w="6192" w:type="dxa"/>
                  <w:tcBorders>
                    <w:top w:val="nil"/>
                    <w:left w:val="nil"/>
                    <w:bottom w:val="nil"/>
                    <w:right w:val="single" w:sz="6" w:space="0" w:color="FFFFFF"/>
                  </w:tcBorders>
                  <w:hideMark/>
                </w:tcPr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b/>
                      <w:bCs/>
                      <w:color w:val="4C4B4A"/>
                      <w:sz w:val="17"/>
                      <w:szCs w:val="17"/>
                    </w:rPr>
                    <w:t xml:space="preserve">Session 11 - Challenging Cases and Complications </w:t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  <w:br/>
                  </w: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  <w:p w:rsidR="002F7601" w:rsidRPr="002F7601" w:rsidRDefault="002F7601" w:rsidP="002F7601">
                  <w:pPr>
                    <w:spacing w:after="0" w:line="240" w:lineRule="auto"/>
                    <w:rPr>
                      <w:rFonts w:ascii="Verdana" w:eastAsia="Times New Roman" w:hAnsi="Verdana" w:cs="Helvetica"/>
                      <w:color w:val="4C4B4A"/>
                      <w:sz w:val="18"/>
                      <w:szCs w:val="18"/>
                    </w:rPr>
                  </w:pPr>
                </w:p>
                <w:p w:rsidR="002F7601" w:rsidRPr="002F7601" w:rsidRDefault="002F7601" w:rsidP="002F7601">
                  <w:pPr>
                    <w:spacing w:after="0" w:line="240" w:lineRule="atLeast"/>
                    <w:rPr>
                      <w:rFonts w:ascii="Verdana" w:eastAsia="Times New Roman" w:hAnsi="Verdana" w:cs="Helvetica"/>
                      <w:color w:val="4C4B4A"/>
                      <w:sz w:val="17"/>
                      <w:szCs w:val="17"/>
                    </w:rPr>
                  </w:pPr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Live Cases From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CardioVascular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Center Frankfurt, Sankt </w:t>
                  </w:r>
                  <w:proofErr w:type="spellStart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>Katharinen</w:t>
                  </w:r>
                  <w:proofErr w:type="spellEnd"/>
                  <w:r w:rsidRPr="002F7601">
                    <w:rPr>
                      <w:rFonts w:ascii="Verdana" w:eastAsia="Times New Roman" w:hAnsi="Verdana" w:cs="Helvetica"/>
                      <w:color w:val="95101C"/>
                      <w:sz w:val="17"/>
                      <w:szCs w:val="17"/>
                      <w:bdr w:val="none" w:sz="0" w:space="0" w:color="auto" w:frame="1"/>
                    </w:rPr>
                    <w:t xml:space="preserve"> Frankfurt, Germany </w:t>
                  </w:r>
                </w:p>
              </w:tc>
            </w:tr>
          </w:tbl>
          <w:p w:rsidR="002F7601" w:rsidRPr="002F7601" w:rsidRDefault="002F7601" w:rsidP="002F7601">
            <w:pPr>
              <w:spacing w:after="0" w:line="240" w:lineRule="auto"/>
              <w:rPr>
                <w:rFonts w:ascii="Verdana" w:eastAsia="Times New Roman" w:hAnsi="Verdana" w:cs="Helvetica"/>
                <w:color w:val="4C4B4A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601" w:rsidRPr="002F7601" w:rsidRDefault="002F7601" w:rsidP="002F7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27F58" w:rsidRDefault="000A19BD"/>
    <w:sectPr w:rsidR="00E27F58" w:rsidSect="002F76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numPicBullet w:numPicBulletId="2">
    <w:pict>
      <v:shape id="_x0000_i1036" type="#_x0000_t75" style="width:3in;height:3in" o:bullet="t"/>
    </w:pict>
  </w:numPicBullet>
  <w:numPicBullet w:numPicBulletId="3">
    <w:pict>
      <v:shape id="_x0000_i1037" type="#_x0000_t75" style="width:3in;height:3in" o:bullet="t"/>
    </w:pict>
  </w:numPicBullet>
  <w:abstractNum w:abstractNumId="0">
    <w:nsid w:val="02714892"/>
    <w:multiLevelType w:val="multilevel"/>
    <w:tmpl w:val="891E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F81A69"/>
    <w:multiLevelType w:val="multilevel"/>
    <w:tmpl w:val="D4D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C8071F4"/>
    <w:multiLevelType w:val="multilevel"/>
    <w:tmpl w:val="C412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0427D7"/>
    <w:multiLevelType w:val="multilevel"/>
    <w:tmpl w:val="5AF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01"/>
    <w:rsid w:val="000A19BD"/>
    <w:rsid w:val="000A4EFD"/>
    <w:rsid w:val="002F7601"/>
    <w:rsid w:val="00325FE4"/>
    <w:rsid w:val="009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rsid w:val="002F7601"/>
    <w:rPr>
      <w:strike w:val="0"/>
      <w:dstrike w:val="0"/>
      <w:color w:val="95101C"/>
      <w:sz w:val="17"/>
      <w:szCs w:val="17"/>
      <w:u w:val="none"/>
      <w:effect w:val="none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rsid w:val="002F7601"/>
    <w:rPr>
      <w:strike w:val="0"/>
      <w:dstrike w:val="0"/>
      <w:color w:val="95101C"/>
      <w:sz w:val="17"/>
      <w:szCs w:val="17"/>
      <w:u w:val="none"/>
      <w:effect w:val="non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Nozykowska, Arletta</dc:creator>
  <cp:lastModifiedBy>Nozykowska, Arletta</cp:lastModifiedBy>
  <cp:revision>2</cp:revision>
  <dcterms:created xsi:type="dcterms:W3CDTF">2014-08-13T09:06:00Z</dcterms:created>
  <dcterms:modified xsi:type="dcterms:W3CDTF">2014-08-13T09:06:00Z</dcterms:modified>
</cp:coreProperties>
</file>