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0BF" w:rsidRPr="00A560BF" w:rsidRDefault="00A560BF" w:rsidP="00A560BF">
      <w:pPr>
        <w:ind w:left="709"/>
        <w:rPr>
          <w:rtl/>
        </w:rPr>
      </w:pPr>
      <w:proofErr w:type="spellStart"/>
      <w:r w:rsidRPr="00A560BF">
        <w:rPr>
          <w:rStyle w:val="Strong"/>
          <w:rFonts w:asciiTheme="majorBidi" w:hAnsiTheme="majorBidi" w:cstheme="majorBidi"/>
        </w:rPr>
        <w:t>Suject</w:t>
      </w:r>
      <w:proofErr w:type="spellEnd"/>
      <w:r w:rsidRPr="00A560BF">
        <w:rPr>
          <w:rStyle w:val="Strong"/>
          <w:rFonts w:asciiTheme="majorBidi" w:hAnsiTheme="majorBidi" w:cstheme="majorBidi"/>
        </w:rPr>
        <w:t>:</w:t>
      </w:r>
      <w:r w:rsidRPr="00A560BF">
        <w:rPr>
          <w:rStyle w:val="Strong"/>
          <w:rFonts w:asciiTheme="majorBidi" w:hAnsiTheme="majorBidi" w:cstheme="majorBidi"/>
          <w:b w:val="0"/>
          <w:bCs w:val="0"/>
        </w:rPr>
        <w:t xml:space="preserve"> </w:t>
      </w:r>
      <w:r w:rsidRPr="00A560BF">
        <w:rPr>
          <w:rFonts w:ascii="Times New Roman" w:hAnsi="Times New Roman"/>
          <w:b/>
          <w:bCs/>
          <w:lang w:val="en-DE"/>
        </w:rPr>
        <w:t>A</w:t>
      </w:r>
      <w:proofErr w:type="spellStart"/>
      <w:r w:rsidRPr="00A560BF">
        <w:rPr>
          <w:b/>
          <w:bCs/>
        </w:rPr>
        <w:t>ssessment</w:t>
      </w:r>
      <w:proofErr w:type="spellEnd"/>
      <w:r w:rsidRPr="00A560BF">
        <w:rPr>
          <w:b/>
          <w:bCs/>
        </w:rPr>
        <w:t xml:space="preserve"> of Soil Moisture Impact on Organic Carbon in Soils Across Selected Regions of Germany (2011–2018)</w:t>
      </w:r>
    </w:p>
    <w:p w:rsidR="00A560BF" w:rsidRPr="00A560BF" w:rsidRDefault="00A560BF" w:rsidP="00A560BF">
      <w:pPr>
        <w:pStyle w:val="Heading3"/>
        <w:rPr>
          <w:rStyle w:val="Strong"/>
          <w:rFonts w:cstheme="majorBidi"/>
          <w:b/>
          <w:bCs/>
          <w:sz w:val="22"/>
          <w:szCs w:val="22"/>
          <w:lang w:val="en-DE"/>
        </w:rPr>
      </w:pPr>
      <w:bookmarkStart w:id="0" w:name="_GoBack"/>
      <w:bookmarkEnd w:id="0"/>
    </w:p>
    <w:p w:rsidR="008E53FD" w:rsidRPr="001D7E5E" w:rsidRDefault="008E53FD" w:rsidP="008E53FD">
      <w:pPr>
        <w:pStyle w:val="Heading3"/>
        <w:ind w:left="709"/>
        <w:rPr>
          <w:rStyle w:val="Strong"/>
          <w:rFonts w:asciiTheme="majorBidi" w:hAnsiTheme="majorBidi" w:cstheme="majorBidi"/>
          <w:b/>
          <w:bCs/>
          <w:sz w:val="22"/>
          <w:szCs w:val="22"/>
        </w:rPr>
      </w:pPr>
      <w:r w:rsidRPr="001D7E5E">
        <w:rPr>
          <w:rStyle w:val="Strong"/>
          <w:rFonts w:asciiTheme="majorBidi" w:hAnsiTheme="majorBidi" w:cstheme="majorBidi"/>
          <w:b/>
          <w:bCs/>
          <w:sz w:val="22"/>
          <w:szCs w:val="22"/>
        </w:rPr>
        <w:t xml:space="preserve">Introduction &amp; Problem Statement: </w:t>
      </w:r>
    </w:p>
    <w:p w:rsidR="008E53FD" w:rsidRPr="001D7E5E" w:rsidRDefault="008E53FD" w:rsidP="008E53FD">
      <w:pPr>
        <w:pStyle w:val="Heading3"/>
        <w:ind w:left="709"/>
        <w:rPr>
          <w:rStyle w:val="Strong"/>
          <w:rFonts w:asciiTheme="majorBidi" w:hAnsiTheme="majorBidi" w:cstheme="majorBidi"/>
          <w:sz w:val="22"/>
          <w:szCs w:val="22"/>
        </w:rPr>
      </w:pPr>
      <w:r w:rsidRPr="001D7E5E">
        <w:rPr>
          <w:rStyle w:val="Strong"/>
          <w:rFonts w:asciiTheme="majorBidi" w:hAnsiTheme="majorBidi" w:cstheme="majorBidi"/>
          <w:sz w:val="22"/>
          <w:szCs w:val="22"/>
        </w:rPr>
        <w:t>Soil organic carbon (SOC) is an essential element that ensures agricultural productivity and environmental resilience. As a key component of soil organic matter, SOC is vital in improving soil structure, water holding capacity, nutrient cycling, and biological activity. SOC also acts as a significant carbon sink, where it mitigates climate change through the sequestration of atmospheric CO₂.</w:t>
      </w:r>
    </w:p>
    <w:p w:rsidR="008E53FD" w:rsidRPr="001D7E5E" w:rsidRDefault="008E53FD" w:rsidP="008E53FD">
      <w:pPr>
        <w:pStyle w:val="Heading3"/>
        <w:ind w:left="709"/>
        <w:rPr>
          <w:rStyle w:val="Strong"/>
          <w:rFonts w:asciiTheme="majorBidi" w:hAnsiTheme="majorBidi" w:cstheme="majorBidi"/>
          <w:sz w:val="22"/>
          <w:szCs w:val="22"/>
        </w:rPr>
      </w:pPr>
      <w:r w:rsidRPr="001D7E5E">
        <w:rPr>
          <w:rStyle w:val="Strong"/>
          <w:rFonts w:asciiTheme="majorBidi" w:hAnsiTheme="majorBidi" w:cstheme="majorBidi"/>
          <w:sz w:val="22"/>
          <w:szCs w:val="22"/>
        </w:rPr>
        <w:t>Of all the variables that influence SOC dynamics, soil water content is particularly basic. Soil water content influences microbial activity, decomposition of soil organic matter, and carbon stabilization processes. Climatic patterns in recent years point towards increased variability in rain and soil water content in many parts of Germany, particularly during the growing season.</w:t>
      </w:r>
    </w:p>
    <w:p w:rsidR="008E53FD" w:rsidRPr="001D7E5E" w:rsidRDefault="008E53FD" w:rsidP="008E53FD">
      <w:pPr>
        <w:pStyle w:val="Heading3"/>
        <w:ind w:left="709"/>
        <w:rPr>
          <w:rStyle w:val="Strong"/>
          <w:rFonts w:asciiTheme="majorBidi" w:hAnsiTheme="majorBidi" w:cstheme="majorBidi"/>
          <w:sz w:val="22"/>
          <w:szCs w:val="22"/>
        </w:rPr>
      </w:pPr>
      <w:r w:rsidRPr="001D7E5E">
        <w:rPr>
          <w:rStyle w:val="Strong"/>
          <w:rFonts w:asciiTheme="majorBidi" w:hAnsiTheme="majorBidi" w:cstheme="majorBidi"/>
          <w:sz w:val="22"/>
          <w:szCs w:val="22"/>
        </w:rPr>
        <w:t>While it is recognized that soil water plays a critical role in SOC control, not much is understood about how variability in soil water content affects SOC stocks across different soils. Land use or agricultural management has been the primary variable in previous studies with reduced focus on the direct effect of SOC response to water content across different soil regimes.</w:t>
      </w:r>
    </w:p>
    <w:p w:rsidR="008F4AE3" w:rsidRPr="001D7E5E" w:rsidRDefault="008E53FD" w:rsidP="008E53FD">
      <w:pPr>
        <w:pStyle w:val="Heading3"/>
        <w:ind w:left="709"/>
        <w:rPr>
          <w:rStyle w:val="Strong"/>
          <w:rFonts w:asciiTheme="majorBidi" w:hAnsiTheme="majorBidi" w:cstheme="majorBidi"/>
          <w:sz w:val="22"/>
          <w:szCs w:val="22"/>
        </w:rPr>
      </w:pPr>
      <w:r w:rsidRPr="001D7E5E">
        <w:rPr>
          <w:rStyle w:val="Strong"/>
          <w:rFonts w:asciiTheme="majorBidi" w:hAnsiTheme="majorBidi" w:cstheme="majorBidi"/>
          <w:sz w:val="22"/>
          <w:szCs w:val="22"/>
        </w:rPr>
        <w:t>This study attempts to investigate the relationship between SOC concentration and soil moisture using observational data collected over 2011-2018 from three distinct regions of Germany: Brandenburg (eastern Germany), Niedersachsen (northwest Germany), and Bayern (southern Germany). These regions were selected in order to represent a gradient of climatic conditions and soil textures and therefore be a valuable reference point for comparison. The goal is to gain a better understanding of how the presence of water affects SOC concentration in soils, and identify potential patterns that can help direct more sustainable soil and water management practice under climate variability conditions.</w:t>
      </w:r>
    </w:p>
    <w:p w:rsidR="00284248" w:rsidRPr="001D7E5E" w:rsidRDefault="00284248" w:rsidP="00324F2A">
      <w:pPr>
        <w:pStyle w:val="Heading3"/>
        <w:ind w:left="709"/>
        <w:rPr>
          <w:rFonts w:asciiTheme="majorBidi" w:hAnsiTheme="majorBidi" w:cstheme="majorBidi"/>
          <w:sz w:val="22"/>
          <w:szCs w:val="22"/>
          <w:rtl/>
        </w:rPr>
      </w:pPr>
      <w:r w:rsidRPr="001D7E5E">
        <w:rPr>
          <w:rStyle w:val="Strong"/>
          <w:rFonts w:asciiTheme="majorBidi" w:hAnsiTheme="majorBidi" w:cstheme="majorBidi"/>
          <w:b/>
          <w:bCs/>
          <w:sz w:val="22"/>
          <w:szCs w:val="22"/>
        </w:rPr>
        <w:t>Significance of the Study</w:t>
      </w:r>
      <w:r w:rsidR="008E53FD" w:rsidRPr="001D7E5E">
        <w:rPr>
          <w:rStyle w:val="Strong"/>
          <w:rFonts w:asciiTheme="majorBidi" w:hAnsiTheme="majorBidi" w:cstheme="majorBidi"/>
          <w:b/>
          <w:bCs/>
          <w:sz w:val="22"/>
          <w:szCs w:val="22"/>
        </w:rPr>
        <w:t>:</w:t>
      </w:r>
    </w:p>
    <w:p w:rsidR="008E53FD" w:rsidRPr="001D7E5E" w:rsidRDefault="008E53FD" w:rsidP="008E53FD">
      <w:pPr>
        <w:pStyle w:val="Heading3"/>
        <w:ind w:left="709"/>
        <w:rPr>
          <w:rFonts w:asciiTheme="majorBidi" w:hAnsiTheme="majorBidi" w:cstheme="majorBidi"/>
          <w:b w:val="0"/>
          <w:bCs w:val="0"/>
          <w:sz w:val="22"/>
          <w:szCs w:val="22"/>
          <w:lang w:val="en-DE"/>
        </w:rPr>
      </w:pPr>
      <w:r w:rsidRPr="001D7E5E">
        <w:rPr>
          <w:rFonts w:asciiTheme="majorBidi" w:hAnsiTheme="majorBidi" w:cstheme="majorBidi"/>
          <w:b w:val="0"/>
          <w:bCs w:val="0"/>
          <w:sz w:val="22"/>
          <w:szCs w:val="22"/>
          <w:lang w:val="en-DE"/>
        </w:rPr>
        <w:t>Due to recent climate change, fluctuations in rainfall and soil moisture have been a key concern for natural resource management and agriculture in many countries, including Germany. Not considering soil moisture may lead to a poor understanding of the processes that control SOC storage.</w:t>
      </w:r>
    </w:p>
    <w:p w:rsidR="008E53FD" w:rsidRPr="001D7E5E" w:rsidRDefault="008E53FD" w:rsidP="008E53FD">
      <w:pPr>
        <w:pStyle w:val="Heading3"/>
        <w:ind w:left="709"/>
        <w:rPr>
          <w:rFonts w:asciiTheme="majorBidi" w:hAnsiTheme="majorBidi" w:cstheme="majorBidi"/>
          <w:b w:val="0"/>
          <w:bCs w:val="0"/>
          <w:sz w:val="22"/>
          <w:szCs w:val="22"/>
          <w:lang w:val="en-DE"/>
        </w:rPr>
      </w:pPr>
      <w:r w:rsidRPr="001D7E5E">
        <w:rPr>
          <w:rFonts w:asciiTheme="majorBidi" w:hAnsiTheme="majorBidi" w:cstheme="majorBidi"/>
          <w:b w:val="0"/>
          <w:bCs w:val="0"/>
          <w:sz w:val="22"/>
          <w:szCs w:val="22"/>
          <w:lang w:val="en-DE"/>
        </w:rPr>
        <w:t>While numerous studies have investigated land use and agricultural management practice impacts on SOC levels, the direct impact of soil moisture on SOC, and particularly with multi-year observational data, has largely been forthcoming.</w:t>
      </w:r>
    </w:p>
    <w:p w:rsidR="008E53FD" w:rsidRPr="001D7E5E" w:rsidRDefault="008E53FD" w:rsidP="008E53FD">
      <w:pPr>
        <w:pStyle w:val="Heading3"/>
        <w:ind w:left="709"/>
        <w:rPr>
          <w:rFonts w:asciiTheme="majorBidi" w:hAnsiTheme="majorBidi" w:cstheme="majorBidi"/>
          <w:b w:val="0"/>
          <w:bCs w:val="0"/>
          <w:sz w:val="22"/>
          <w:szCs w:val="22"/>
          <w:lang w:val="en-DE"/>
        </w:rPr>
      </w:pPr>
      <w:r w:rsidRPr="001D7E5E">
        <w:rPr>
          <w:rFonts w:asciiTheme="majorBidi" w:hAnsiTheme="majorBidi" w:cstheme="majorBidi"/>
          <w:b w:val="0"/>
          <w:bCs w:val="0"/>
          <w:sz w:val="22"/>
          <w:szCs w:val="22"/>
          <w:lang w:val="en-DE"/>
        </w:rPr>
        <w:t>Moreover, with the important role of SOC in soil sustainability, erosion control, productivity enhancement, and reduction of greenhouse gas emission, a better understanding of the driving forces of SOC is strongly required for policy-making and natural resource management under changing climate.</w:t>
      </w:r>
    </w:p>
    <w:p w:rsidR="008E53FD" w:rsidRDefault="008E53FD" w:rsidP="008E53FD">
      <w:pPr>
        <w:pStyle w:val="Heading3"/>
        <w:ind w:left="709"/>
        <w:rPr>
          <w:rFonts w:cstheme="majorBidi"/>
          <w:b w:val="0"/>
          <w:bCs w:val="0"/>
          <w:sz w:val="22"/>
          <w:szCs w:val="22"/>
          <w:lang w:val="en-DE"/>
        </w:rPr>
      </w:pPr>
      <w:r w:rsidRPr="001D7E5E">
        <w:rPr>
          <w:rFonts w:asciiTheme="majorBidi" w:hAnsiTheme="majorBidi" w:cstheme="majorBidi"/>
          <w:b w:val="0"/>
          <w:bCs w:val="0"/>
          <w:sz w:val="22"/>
          <w:szCs w:val="22"/>
          <w:lang w:val="en-DE"/>
        </w:rPr>
        <w:t>This research, based on real observational data for three different regions in Germany for the years 2011-2018, offers an opportunity to investigate the soil moisture-SOC relationship comparatively. The result can guide improved soil and water management strategies in areas with similar climatic challenges.</w:t>
      </w:r>
    </w:p>
    <w:p w:rsidR="001D7E5E" w:rsidRDefault="001D7E5E" w:rsidP="008E53FD">
      <w:pPr>
        <w:pStyle w:val="Heading3"/>
        <w:ind w:left="709"/>
        <w:rPr>
          <w:rFonts w:cstheme="majorBidi"/>
          <w:b w:val="0"/>
          <w:bCs w:val="0"/>
          <w:sz w:val="22"/>
          <w:szCs w:val="22"/>
          <w:lang w:val="en-DE"/>
        </w:rPr>
      </w:pPr>
    </w:p>
    <w:p w:rsidR="001D7E5E" w:rsidRPr="00A560BF" w:rsidRDefault="001D7E5E" w:rsidP="008E53FD">
      <w:pPr>
        <w:pStyle w:val="Heading3"/>
        <w:ind w:left="709"/>
        <w:rPr>
          <w:rFonts w:cstheme="majorBidi"/>
          <w:b w:val="0"/>
          <w:bCs w:val="0"/>
          <w:sz w:val="22"/>
          <w:szCs w:val="22"/>
        </w:rPr>
      </w:pPr>
    </w:p>
    <w:p w:rsidR="00284248" w:rsidRPr="001D7E5E" w:rsidRDefault="00284248" w:rsidP="00324F2A">
      <w:pPr>
        <w:pStyle w:val="Heading3"/>
        <w:ind w:left="709"/>
        <w:rPr>
          <w:rFonts w:asciiTheme="majorBidi" w:hAnsiTheme="majorBidi" w:cstheme="majorBidi"/>
          <w:sz w:val="22"/>
          <w:szCs w:val="22"/>
          <w:lang w:bidi="fa-IR"/>
        </w:rPr>
      </w:pPr>
      <w:r w:rsidRPr="001D7E5E">
        <w:rPr>
          <w:rFonts w:asciiTheme="majorBidi" w:hAnsiTheme="majorBidi" w:cstheme="majorBidi"/>
          <w:sz w:val="22"/>
          <w:szCs w:val="22"/>
          <w:lang w:val="en-DE"/>
        </w:rPr>
        <w:t>M</w:t>
      </w:r>
      <w:proofErr w:type="spellStart"/>
      <w:r w:rsidRPr="001D7E5E">
        <w:rPr>
          <w:rFonts w:asciiTheme="majorBidi" w:hAnsiTheme="majorBidi" w:cstheme="majorBidi"/>
          <w:sz w:val="22"/>
          <w:szCs w:val="22"/>
        </w:rPr>
        <w:t>ain</w:t>
      </w:r>
      <w:proofErr w:type="spellEnd"/>
      <w:r w:rsidRPr="001D7E5E">
        <w:rPr>
          <w:rFonts w:asciiTheme="majorBidi" w:hAnsiTheme="majorBidi" w:cstheme="majorBidi"/>
          <w:sz w:val="22"/>
          <w:szCs w:val="22"/>
        </w:rPr>
        <w:t xml:space="preserve"> Research Objective:</w:t>
      </w:r>
    </w:p>
    <w:p w:rsidR="00480ED7" w:rsidRPr="001D7E5E" w:rsidRDefault="00480ED7" w:rsidP="00480ED7">
      <w:pPr>
        <w:pStyle w:val="NormalWeb"/>
        <w:ind w:left="709"/>
        <w:rPr>
          <w:rFonts w:asciiTheme="majorBidi" w:hAnsiTheme="majorBidi" w:cstheme="majorBidi"/>
          <w:sz w:val="22"/>
          <w:szCs w:val="22"/>
          <w:rtl/>
        </w:rPr>
      </w:pPr>
      <w:r w:rsidRPr="001D7E5E">
        <w:rPr>
          <w:rFonts w:asciiTheme="majorBidi" w:hAnsiTheme="majorBidi" w:cstheme="majorBidi"/>
          <w:sz w:val="22"/>
          <w:szCs w:val="22"/>
        </w:rPr>
        <w:t xml:space="preserve">Based on observational data from 2011 to 2018, this study examines the relationship between soil moisture and soil organic carbon (SOC) in three regions of Germany - Brandenburg, </w:t>
      </w:r>
      <w:r w:rsidRPr="001D7E5E">
        <w:rPr>
          <w:rStyle w:val="Strong"/>
          <w:rFonts w:asciiTheme="majorBidi" w:hAnsiTheme="majorBidi" w:cstheme="majorBidi"/>
          <w:b w:val="0"/>
          <w:bCs w:val="0"/>
          <w:sz w:val="22"/>
          <w:szCs w:val="22"/>
        </w:rPr>
        <w:t>Niedersachsen</w:t>
      </w:r>
      <w:r w:rsidRPr="001D7E5E">
        <w:rPr>
          <w:rFonts w:asciiTheme="majorBidi" w:hAnsiTheme="majorBidi" w:cstheme="majorBidi"/>
          <w:sz w:val="22"/>
          <w:szCs w:val="22"/>
        </w:rPr>
        <w:t xml:space="preserve">, and </w:t>
      </w:r>
      <w:r w:rsidRPr="001D7E5E">
        <w:rPr>
          <w:rStyle w:val="Strong"/>
          <w:rFonts w:asciiTheme="majorBidi" w:hAnsiTheme="majorBidi" w:cstheme="majorBidi"/>
          <w:b w:val="0"/>
          <w:bCs w:val="0"/>
          <w:sz w:val="22"/>
          <w:szCs w:val="22"/>
        </w:rPr>
        <w:t>Bayern</w:t>
      </w:r>
      <w:r w:rsidRPr="001D7E5E">
        <w:rPr>
          <w:rFonts w:asciiTheme="majorBidi" w:hAnsiTheme="majorBidi" w:cstheme="majorBidi"/>
          <w:sz w:val="22"/>
          <w:szCs w:val="22"/>
        </w:rPr>
        <w:t xml:space="preserve">. </w:t>
      </w:r>
    </w:p>
    <w:p w:rsidR="00284248" w:rsidRPr="00A560BF" w:rsidRDefault="00284248" w:rsidP="001D7E5E">
      <w:pPr>
        <w:pStyle w:val="NormalWeb"/>
        <w:ind w:left="709"/>
        <w:rPr>
          <w:rFonts w:asciiTheme="majorBidi" w:hAnsiTheme="majorBidi" w:cstheme="majorBidi"/>
          <w:b/>
          <w:bCs/>
          <w:sz w:val="22"/>
          <w:szCs w:val="22"/>
        </w:rPr>
      </w:pPr>
      <w:r w:rsidRPr="001D7E5E">
        <w:rPr>
          <w:rFonts w:asciiTheme="majorBidi" w:hAnsiTheme="majorBidi" w:cstheme="majorBidi"/>
          <w:b/>
          <w:bCs/>
          <w:sz w:val="22"/>
          <w:szCs w:val="22"/>
        </w:rPr>
        <w:t>Research Questions:</w:t>
      </w:r>
    </w:p>
    <w:p w:rsidR="00284248" w:rsidRPr="001D7E5E" w:rsidRDefault="00284248" w:rsidP="00324F2A">
      <w:pPr>
        <w:spacing w:before="100" w:beforeAutospacing="1" w:after="100" w:afterAutospacing="1" w:line="240" w:lineRule="auto"/>
        <w:ind w:left="709"/>
        <w:rPr>
          <w:rFonts w:asciiTheme="majorBidi" w:eastAsia="Times New Roman" w:hAnsiTheme="majorBidi" w:cstheme="majorBidi"/>
          <w:lang w:eastAsia="en-GB"/>
        </w:rPr>
      </w:pPr>
      <w:proofErr w:type="gramStart"/>
      <w:r w:rsidRPr="001D7E5E">
        <w:rPr>
          <w:rFonts w:asciiTheme="majorBidi" w:eastAsia="Times New Roman" w:hAnsiTheme="majorBidi" w:cstheme="majorBidi"/>
          <w:lang w:eastAsia="en-GB"/>
        </w:rPr>
        <w:t>·  what</w:t>
      </w:r>
      <w:proofErr w:type="gramEnd"/>
      <w:r w:rsidRPr="001D7E5E">
        <w:rPr>
          <w:rFonts w:asciiTheme="majorBidi" w:eastAsia="Times New Roman" w:hAnsiTheme="majorBidi" w:cstheme="majorBidi"/>
          <w:lang w:eastAsia="en-GB"/>
        </w:rPr>
        <w:t xml:space="preserve"> is the relationship between soil moisture and soil organic carbon (SOC) in the three selected regions of Germany?</w:t>
      </w:r>
    </w:p>
    <w:p w:rsidR="00284248" w:rsidRPr="001D7E5E" w:rsidRDefault="00284248" w:rsidP="00324F2A">
      <w:pPr>
        <w:spacing w:before="100" w:beforeAutospacing="1" w:after="100" w:afterAutospacing="1" w:line="240" w:lineRule="auto"/>
        <w:ind w:left="709"/>
        <w:rPr>
          <w:rFonts w:asciiTheme="majorBidi" w:eastAsia="Times New Roman" w:hAnsiTheme="majorBidi" w:cstheme="majorBidi"/>
          <w:lang w:eastAsia="en-GB"/>
        </w:rPr>
      </w:pPr>
      <w:proofErr w:type="gramStart"/>
      <w:r w:rsidRPr="001D7E5E">
        <w:rPr>
          <w:rFonts w:asciiTheme="majorBidi" w:eastAsia="Times New Roman" w:hAnsiTheme="majorBidi" w:cstheme="majorBidi"/>
          <w:lang w:eastAsia="en-GB"/>
        </w:rPr>
        <w:t>·  Why</w:t>
      </w:r>
      <w:proofErr w:type="gramEnd"/>
      <w:r w:rsidRPr="001D7E5E">
        <w:rPr>
          <w:rFonts w:asciiTheme="majorBidi" w:eastAsia="Times New Roman" w:hAnsiTheme="majorBidi" w:cstheme="majorBidi"/>
          <w:lang w:eastAsia="en-GB"/>
        </w:rPr>
        <w:t xml:space="preserve"> is it important to </w:t>
      </w:r>
      <w:proofErr w:type="spellStart"/>
      <w:r w:rsidRPr="001D7E5E">
        <w:rPr>
          <w:rFonts w:asciiTheme="majorBidi" w:eastAsia="Times New Roman" w:hAnsiTheme="majorBidi" w:cstheme="majorBidi"/>
          <w:lang w:eastAsia="en-GB"/>
        </w:rPr>
        <w:t>analyze</w:t>
      </w:r>
      <w:proofErr w:type="spellEnd"/>
      <w:r w:rsidRPr="001D7E5E">
        <w:rPr>
          <w:rFonts w:asciiTheme="majorBidi" w:eastAsia="Times New Roman" w:hAnsiTheme="majorBidi" w:cstheme="majorBidi"/>
          <w:lang w:eastAsia="en-GB"/>
        </w:rPr>
        <w:t xml:space="preserve"> the SOC–moisture relationship under varying climatic and soil conditions?</w:t>
      </w:r>
    </w:p>
    <w:p w:rsidR="00284248" w:rsidRPr="001D7E5E" w:rsidRDefault="00284248" w:rsidP="00324F2A">
      <w:pPr>
        <w:spacing w:before="100" w:beforeAutospacing="1" w:after="100" w:afterAutospacing="1" w:line="240" w:lineRule="auto"/>
        <w:ind w:left="709"/>
        <w:rPr>
          <w:rFonts w:asciiTheme="majorBidi" w:eastAsia="Times New Roman" w:hAnsiTheme="majorBidi" w:cstheme="majorBidi"/>
          <w:lang w:eastAsia="en-GB"/>
        </w:rPr>
      </w:pPr>
      <w:proofErr w:type="gramStart"/>
      <w:r w:rsidRPr="001D7E5E">
        <w:rPr>
          <w:rFonts w:asciiTheme="majorBidi" w:eastAsia="Times New Roman" w:hAnsiTheme="majorBidi" w:cstheme="majorBidi"/>
          <w:lang w:eastAsia="en-GB"/>
        </w:rPr>
        <w:t>·  What</w:t>
      </w:r>
      <w:proofErr w:type="gramEnd"/>
      <w:r w:rsidRPr="001D7E5E">
        <w:rPr>
          <w:rFonts w:asciiTheme="majorBidi" w:eastAsia="Times New Roman" w:hAnsiTheme="majorBidi" w:cstheme="majorBidi"/>
          <w:lang w:eastAsia="en-GB"/>
        </w:rPr>
        <w:t xml:space="preserve"> strategies can be used to retain soil moisture and preserve or increase SOC levels?</w:t>
      </w:r>
    </w:p>
    <w:p w:rsidR="00284248" w:rsidRPr="001D7E5E" w:rsidRDefault="00284248" w:rsidP="00324F2A">
      <w:pPr>
        <w:spacing w:before="100" w:beforeAutospacing="1" w:after="100" w:afterAutospacing="1" w:line="240" w:lineRule="auto"/>
        <w:ind w:left="709"/>
        <w:rPr>
          <w:rFonts w:asciiTheme="majorBidi" w:eastAsia="Times New Roman" w:hAnsiTheme="majorBidi" w:cstheme="majorBidi"/>
          <w:lang w:eastAsia="en-GB"/>
        </w:rPr>
      </w:pPr>
      <w:proofErr w:type="gramStart"/>
      <w:r w:rsidRPr="001D7E5E">
        <w:rPr>
          <w:rFonts w:asciiTheme="majorBidi" w:eastAsia="Times New Roman" w:hAnsiTheme="majorBidi" w:cstheme="majorBidi"/>
          <w:lang w:eastAsia="en-GB"/>
        </w:rPr>
        <w:t>·  Does</w:t>
      </w:r>
      <w:proofErr w:type="gramEnd"/>
      <w:r w:rsidRPr="001D7E5E">
        <w:rPr>
          <w:rFonts w:asciiTheme="majorBidi" w:eastAsia="Times New Roman" w:hAnsiTheme="majorBidi" w:cstheme="majorBidi"/>
          <w:lang w:eastAsia="en-GB"/>
        </w:rPr>
        <w:t xml:space="preserve"> the influence of soil moisture on SOC vary across different soil types?</w:t>
      </w:r>
    </w:p>
    <w:p w:rsidR="00284248" w:rsidRPr="001D7E5E" w:rsidRDefault="00284248" w:rsidP="00324F2A">
      <w:pPr>
        <w:spacing w:before="100" w:beforeAutospacing="1" w:after="100" w:afterAutospacing="1" w:line="240" w:lineRule="auto"/>
        <w:ind w:left="709"/>
        <w:rPr>
          <w:rFonts w:asciiTheme="majorBidi" w:eastAsia="Times New Roman" w:hAnsiTheme="majorBidi" w:cstheme="majorBidi"/>
          <w:lang w:eastAsia="en-GB"/>
        </w:rPr>
      </w:pPr>
      <w:proofErr w:type="gramStart"/>
      <w:r w:rsidRPr="001D7E5E">
        <w:rPr>
          <w:rFonts w:asciiTheme="majorBidi" w:eastAsia="Times New Roman" w:hAnsiTheme="majorBidi" w:cstheme="majorBidi"/>
          <w:lang w:eastAsia="en-GB"/>
        </w:rPr>
        <w:t>·  Which</w:t>
      </w:r>
      <w:proofErr w:type="gramEnd"/>
      <w:r w:rsidRPr="001D7E5E">
        <w:rPr>
          <w:rFonts w:asciiTheme="majorBidi" w:eastAsia="Times New Roman" w:hAnsiTheme="majorBidi" w:cstheme="majorBidi"/>
          <w:lang w:eastAsia="en-GB"/>
        </w:rPr>
        <w:t xml:space="preserve"> soil types are more sensitive to moisture fluctuations in terms of SOC response?</w:t>
      </w:r>
    </w:p>
    <w:p w:rsidR="00284248" w:rsidRPr="001D7E5E" w:rsidRDefault="00284248" w:rsidP="00324F2A">
      <w:pPr>
        <w:spacing w:before="100" w:beforeAutospacing="1" w:after="100" w:afterAutospacing="1" w:line="240" w:lineRule="auto"/>
        <w:ind w:left="709"/>
        <w:rPr>
          <w:rFonts w:asciiTheme="majorBidi" w:eastAsia="Times New Roman" w:hAnsiTheme="majorBidi" w:cstheme="majorBidi"/>
          <w:b/>
          <w:bCs/>
          <w:color w:val="FF0000"/>
          <w:rtl/>
          <w:lang w:eastAsia="en-GB"/>
        </w:rPr>
      </w:pPr>
      <w:r w:rsidRPr="001D7E5E">
        <w:rPr>
          <w:rFonts w:asciiTheme="majorBidi" w:hAnsiTheme="majorBidi" w:cstheme="majorBidi"/>
          <w:b/>
          <w:bCs/>
        </w:rPr>
        <w:t>Hypotheses</w:t>
      </w:r>
      <w:r w:rsidR="001D7E5E">
        <w:rPr>
          <w:rFonts w:asciiTheme="majorBidi" w:hAnsiTheme="majorBidi" w:cstheme="majorBidi"/>
          <w:b/>
          <w:bCs/>
        </w:rPr>
        <w:t>:</w:t>
      </w:r>
    </w:p>
    <w:p w:rsidR="00284248" w:rsidRPr="001D7E5E" w:rsidRDefault="00284248" w:rsidP="00324F2A">
      <w:pPr>
        <w:pStyle w:val="NormalWeb"/>
        <w:numPr>
          <w:ilvl w:val="0"/>
          <w:numId w:val="1"/>
        </w:numPr>
        <w:ind w:left="709"/>
        <w:rPr>
          <w:rFonts w:asciiTheme="majorBidi" w:hAnsiTheme="majorBidi" w:cstheme="majorBidi"/>
          <w:b/>
          <w:bCs/>
          <w:sz w:val="22"/>
          <w:szCs w:val="22"/>
          <w:rtl/>
        </w:rPr>
      </w:pPr>
      <w:r w:rsidRPr="001D7E5E">
        <w:rPr>
          <w:rStyle w:val="Strong"/>
          <w:rFonts w:asciiTheme="majorBidi" w:hAnsiTheme="majorBidi" w:cstheme="majorBidi"/>
          <w:b w:val="0"/>
          <w:bCs w:val="0"/>
          <w:sz w:val="22"/>
          <w:szCs w:val="22"/>
        </w:rPr>
        <w:t>There is a significant relationship between soil moisture content and soil organic carbon (SOC).</w:t>
      </w:r>
    </w:p>
    <w:p w:rsidR="00284248" w:rsidRPr="001D7E5E" w:rsidRDefault="00284248" w:rsidP="00324F2A">
      <w:pPr>
        <w:pStyle w:val="NormalWeb"/>
        <w:numPr>
          <w:ilvl w:val="0"/>
          <w:numId w:val="1"/>
        </w:numPr>
        <w:ind w:left="709"/>
        <w:rPr>
          <w:rFonts w:asciiTheme="majorBidi" w:hAnsiTheme="majorBidi" w:cstheme="majorBidi"/>
          <w:b/>
          <w:bCs/>
          <w:sz w:val="22"/>
          <w:szCs w:val="22"/>
        </w:rPr>
      </w:pPr>
      <w:r w:rsidRPr="001D7E5E">
        <w:rPr>
          <w:rStyle w:val="Strong"/>
          <w:rFonts w:asciiTheme="majorBidi" w:hAnsiTheme="majorBidi" w:cstheme="majorBidi"/>
          <w:b w:val="0"/>
          <w:bCs w:val="0"/>
          <w:sz w:val="22"/>
          <w:szCs w:val="22"/>
        </w:rPr>
        <w:t>The influence of soil moisture on SOC varies across different soil types.</w:t>
      </w:r>
    </w:p>
    <w:p w:rsidR="00284248" w:rsidRPr="001D7E5E" w:rsidRDefault="00284248" w:rsidP="00324F2A">
      <w:pPr>
        <w:pStyle w:val="Heading3"/>
        <w:ind w:left="709"/>
        <w:rPr>
          <w:rStyle w:val="Strong"/>
          <w:rFonts w:asciiTheme="majorBidi" w:hAnsiTheme="majorBidi" w:cstheme="majorBidi"/>
          <w:b/>
          <w:bCs/>
          <w:sz w:val="22"/>
          <w:szCs w:val="22"/>
        </w:rPr>
      </w:pPr>
      <w:r w:rsidRPr="001D7E5E">
        <w:rPr>
          <w:rFonts w:asciiTheme="majorBidi" w:hAnsiTheme="majorBidi" w:cstheme="majorBidi"/>
          <w:sz w:val="22"/>
          <w:szCs w:val="22"/>
          <w:lang w:val="en-DE"/>
        </w:rPr>
        <w:t>M</w:t>
      </w:r>
      <w:proofErr w:type="spellStart"/>
      <w:r w:rsidRPr="001D7E5E">
        <w:rPr>
          <w:rFonts w:asciiTheme="majorBidi" w:hAnsiTheme="majorBidi" w:cstheme="majorBidi"/>
          <w:sz w:val="22"/>
          <w:szCs w:val="22"/>
        </w:rPr>
        <w:t>ethodological</w:t>
      </w:r>
      <w:proofErr w:type="spellEnd"/>
      <w:r w:rsidRPr="001D7E5E">
        <w:rPr>
          <w:rFonts w:asciiTheme="majorBidi" w:hAnsiTheme="majorBidi" w:cstheme="majorBidi"/>
          <w:sz w:val="22"/>
          <w:szCs w:val="22"/>
        </w:rPr>
        <w:t xml:space="preserve"> Approach: </w:t>
      </w:r>
      <w:r w:rsidRPr="001D7E5E">
        <w:rPr>
          <w:rStyle w:val="Strong"/>
          <w:rFonts w:asciiTheme="majorBidi" w:hAnsiTheme="majorBidi" w:cstheme="majorBidi"/>
          <w:b/>
          <w:bCs/>
          <w:sz w:val="22"/>
          <w:szCs w:val="22"/>
        </w:rPr>
        <w:t>Mixed Methods</w:t>
      </w:r>
      <w:r w:rsidR="001D7E5E">
        <w:rPr>
          <w:rStyle w:val="Strong"/>
          <w:rFonts w:asciiTheme="majorBidi" w:hAnsiTheme="majorBidi" w:cstheme="majorBidi"/>
          <w:b/>
          <w:bCs/>
          <w:sz w:val="22"/>
          <w:szCs w:val="22"/>
        </w:rPr>
        <w:t>:</w:t>
      </w:r>
    </w:p>
    <w:p w:rsidR="00480ED7" w:rsidRPr="001D7E5E" w:rsidRDefault="00480ED7" w:rsidP="00324F2A">
      <w:pPr>
        <w:pStyle w:val="Heading3"/>
        <w:ind w:left="709"/>
        <w:rPr>
          <w:rFonts w:asciiTheme="majorBidi" w:hAnsiTheme="majorBidi" w:cstheme="majorBidi"/>
          <w:b w:val="0"/>
          <w:bCs w:val="0"/>
          <w:sz w:val="22"/>
          <w:szCs w:val="22"/>
        </w:rPr>
      </w:pPr>
      <w:r w:rsidRPr="001D7E5E">
        <w:rPr>
          <w:rFonts w:asciiTheme="majorBidi" w:hAnsiTheme="majorBidi" w:cstheme="majorBidi"/>
          <w:b w:val="0"/>
          <w:bCs w:val="0"/>
          <w:sz w:val="22"/>
          <w:szCs w:val="22"/>
        </w:rPr>
        <w:t>This study is a mixed methods research, integrating quantitative analysis of observational soil data and qualitative synthesis of the relevant scientific literature. This approach enables combined insight into the complex interaction between soil moisture and soil organic carbon (SOC) under varying soil textures and across German regions.</w:t>
      </w:r>
    </w:p>
    <w:p w:rsidR="00284248" w:rsidRPr="001D7E5E" w:rsidRDefault="00284248" w:rsidP="00324F2A">
      <w:pPr>
        <w:pStyle w:val="Heading3"/>
        <w:ind w:left="709"/>
        <w:rPr>
          <w:rFonts w:asciiTheme="majorBidi" w:hAnsiTheme="majorBidi" w:cstheme="majorBidi"/>
          <w:sz w:val="22"/>
          <w:szCs w:val="22"/>
        </w:rPr>
      </w:pPr>
      <w:r w:rsidRPr="001D7E5E">
        <w:rPr>
          <w:rFonts w:asciiTheme="majorBidi" w:hAnsiTheme="majorBidi" w:cstheme="majorBidi"/>
          <w:sz w:val="22"/>
          <w:szCs w:val="22"/>
        </w:rPr>
        <w:t xml:space="preserve">1. </w:t>
      </w:r>
      <w:r w:rsidRPr="001D7E5E">
        <w:rPr>
          <w:rStyle w:val="Strong"/>
          <w:rFonts w:asciiTheme="majorBidi" w:hAnsiTheme="majorBidi" w:cstheme="majorBidi"/>
          <w:b/>
          <w:bCs/>
          <w:sz w:val="22"/>
          <w:szCs w:val="22"/>
        </w:rPr>
        <w:t>Data Collection</w:t>
      </w:r>
    </w:p>
    <w:p w:rsidR="00284248" w:rsidRPr="001D7E5E" w:rsidRDefault="00284248" w:rsidP="00324F2A">
      <w:pPr>
        <w:pStyle w:val="NormalWeb"/>
        <w:ind w:left="709"/>
        <w:rPr>
          <w:rFonts w:asciiTheme="majorBidi" w:hAnsiTheme="majorBidi" w:cstheme="majorBidi"/>
          <w:sz w:val="22"/>
          <w:szCs w:val="22"/>
        </w:rPr>
      </w:pPr>
      <w:r w:rsidRPr="001D7E5E">
        <w:rPr>
          <w:rFonts w:asciiTheme="majorBidi" w:hAnsiTheme="majorBidi" w:cstheme="majorBidi"/>
          <w:sz w:val="22"/>
          <w:szCs w:val="22"/>
        </w:rPr>
        <w:t xml:space="preserve">The dataset was obtained from the </w:t>
      </w:r>
      <w:hyperlink r:id="rId5" w:tgtFrame="_new" w:history="1">
        <w:proofErr w:type="spellStart"/>
        <w:r w:rsidRPr="001D7E5E">
          <w:rPr>
            <w:rStyle w:val="Hyperlink"/>
            <w:rFonts w:asciiTheme="majorBidi" w:hAnsiTheme="majorBidi" w:cstheme="majorBidi"/>
            <w:sz w:val="22"/>
            <w:szCs w:val="22"/>
          </w:rPr>
          <w:t>OpenAgrar</w:t>
        </w:r>
        <w:proofErr w:type="spellEnd"/>
        <w:r w:rsidRPr="001D7E5E">
          <w:rPr>
            <w:rStyle w:val="Hyperlink"/>
            <w:rFonts w:asciiTheme="majorBidi" w:hAnsiTheme="majorBidi" w:cstheme="majorBidi"/>
            <w:sz w:val="22"/>
            <w:szCs w:val="22"/>
          </w:rPr>
          <w:t xml:space="preserve"> Repository</w:t>
        </w:r>
      </w:hyperlink>
      <w:r w:rsidRPr="001D7E5E">
        <w:rPr>
          <w:rFonts w:asciiTheme="majorBidi" w:hAnsiTheme="majorBidi" w:cstheme="majorBidi"/>
          <w:sz w:val="22"/>
          <w:szCs w:val="22"/>
        </w:rPr>
        <w:t xml:space="preserve">, which provides laboratory-based soil data collected between </w:t>
      </w:r>
      <w:r w:rsidRPr="001D7E5E">
        <w:rPr>
          <w:rStyle w:val="Strong"/>
          <w:rFonts w:asciiTheme="majorBidi" w:hAnsiTheme="majorBidi" w:cstheme="majorBidi"/>
          <w:sz w:val="22"/>
          <w:szCs w:val="22"/>
        </w:rPr>
        <w:t>2011 and 2018</w:t>
      </w:r>
      <w:r w:rsidRPr="001D7E5E">
        <w:rPr>
          <w:rFonts w:asciiTheme="majorBidi" w:hAnsiTheme="majorBidi" w:cstheme="majorBidi"/>
          <w:sz w:val="22"/>
          <w:szCs w:val="22"/>
        </w:rPr>
        <w:t>. The data includes samples from three federal states of Germany, each representing distinct climatic and soil characteristics:</w:t>
      </w:r>
    </w:p>
    <w:p w:rsidR="00284248" w:rsidRPr="001D7E5E" w:rsidRDefault="00284248" w:rsidP="00324F2A">
      <w:pPr>
        <w:pStyle w:val="NormalWeb"/>
        <w:numPr>
          <w:ilvl w:val="0"/>
          <w:numId w:val="2"/>
        </w:numPr>
        <w:ind w:left="709"/>
        <w:rPr>
          <w:rFonts w:asciiTheme="majorBidi" w:hAnsiTheme="majorBidi" w:cstheme="majorBidi"/>
          <w:sz w:val="22"/>
          <w:szCs w:val="22"/>
        </w:rPr>
      </w:pPr>
      <w:r w:rsidRPr="001D7E5E">
        <w:rPr>
          <w:rStyle w:val="Strong"/>
          <w:rFonts w:asciiTheme="majorBidi" w:hAnsiTheme="majorBidi" w:cstheme="majorBidi"/>
          <w:sz w:val="22"/>
          <w:szCs w:val="22"/>
        </w:rPr>
        <w:t>Brandenburg</w:t>
      </w:r>
      <w:r w:rsidRPr="001D7E5E">
        <w:rPr>
          <w:rFonts w:asciiTheme="majorBidi" w:hAnsiTheme="majorBidi" w:cstheme="majorBidi"/>
          <w:sz w:val="22"/>
          <w:szCs w:val="22"/>
        </w:rPr>
        <w:t xml:space="preserve"> (eastern </w:t>
      </w:r>
      <w:proofErr w:type="gramStart"/>
      <w:r w:rsidRPr="001D7E5E">
        <w:rPr>
          <w:rFonts w:asciiTheme="majorBidi" w:hAnsiTheme="majorBidi" w:cstheme="majorBidi"/>
          <w:sz w:val="22"/>
          <w:szCs w:val="22"/>
        </w:rPr>
        <w:t>Germany )</w:t>
      </w:r>
      <w:proofErr w:type="gramEnd"/>
    </w:p>
    <w:p w:rsidR="00284248" w:rsidRPr="001D7E5E" w:rsidRDefault="00284248" w:rsidP="00324F2A">
      <w:pPr>
        <w:pStyle w:val="NormalWeb"/>
        <w:numPr>
          <w:ilvl w:val="0"/>
          <w:numId w:val="2"/>
        </w:numPr>
        <w:ind w:left="709"/>
        <w:rPr>
          <w:rFonts w:asciiTheme="majorBidi" w:hAnsiTheme="majorBidi" w:cstheme="majorBidi"/>
          <w:sz w:val="22"/>
          <w:szCs w:val="22"/>
        </w:rPr>
      </w:pPr>
      <w:r w:rsidRPr="001D7E5E">
        <w:rPr>
          <w:rStyle w:val="Strong"/>
          <w:rFonts w:asciiTheme="majorBidi" w:hAnsiTheme="majorBidi" w:cstheme="majorBidi"/>
          <w:sz w:val="22"/>
          <w:szCs w:val="22"/>
        </w:rPr>
        <w:t>Niedersachsen</w:t>
      </w:r>
      <w:r w:rsidRPr="001D7E5E">
        <w:rPr>
          <w:rFonts w:asciiTheme="majorBidi" w:hAnsiTheme="majorBidi" w:cstheme="majorBidi"/>
          <w:sz w:val="22"/>
          <w:szCs w:val="22"/>
        </w:rPr>
        <w:t xml:space="preserve"> (</w:t>
      </w:r>
      <w:proofErr w:type="spellStart"/>
      <w:r w:rsidRPr="001D7E5E">
        <w:rPr>
          <w:rFonts w:asciiTheme="majorBidi" w:hAnsiTheme="majorBidi" w:cstheme="majorBidi"/>
          <w:sz w:val="22"/>
          <w:szCs w:val="22"/>
        </w:rPr>
        <w:t>northwestern</w:t>
      </w:r>
      <w:proofErr w:type="spellEnd"/>
      <w:r w:rsidRPr="001D7E5E">
        <w:rPr>
          <w:rFonts w:asciiTheme="majorBidi" w:hAnsiTheme="majorBidi" w:cstheme="majorBidi"/>
          <w:sz w:val="22"/>
          <w:szCs w:val="22"/>
        </w:rPr>
        <w:t xml:space="preserve"> </w:t>
      </w:r>
      <w:proofErr w:type="gramStart"/>
      <w:r w:rsidRPr="001D7E5E">
        <w:rPr>
          <w:rFonts w:asciiTheme="majorBidi" w:hAnsiTheme="majorBidi" w:cstheme="majorBidi"/>
          <w:sz w:val="22"/>
          <w:szCs w:val="22"/>
        </w:rPr>
        <w:t>Germany )</w:t>
      </w:r>
      <w:proofErr w:type="gramEnd"/>
    </w:p>
    <w:p w:rsidR="00284248" w:rsidRPr="001D7E5E" w:rsidRDefault="00284248" w:rsidP="00324F2A">
      <w:pPr>
        <w:pStyle w:val="NormalWeb"/>
        <w:numPr>
          <w:ilvl w:val="0"/>
          <w:numId w:val="2"/>
        </w:numPr>
        <w:ind w:left="709"/>
        <w:rPr>
          <w:rFonts w:asciiTheme="majorBidi" w:hAnsiTheme="majorBidi" w:cstheme="majorBidi"/>
          <w:sz w:val="22"/>
          <w:szCs w:val="22"/>
        </w:rPr>
      </w:pPr>
      <w:r w:rsidRPr="001D7E5E">
        <w:rPr>
          <w:rStyle w:val="Strong"/>
          <w:rFonts w:asciiTheme="majorBidi" w:hAnsiTheme="majorBidi" w:cstheme="majorBidi"/>
          <w:sz w:val="22"/>
          <w:szCs w:val="22"/>
        </w:rPr>
        <w:t>Bayern</w:t>
      </w:r>
      <w:r w:rsidRPr="001D7E5E">
        <w:rPr>
          <w:rFonts w:asciiTheme="majorBidi" w:hAnsiTheme="majorBidi" w:cstheme="majorBidi"/>
          <w:sz w:val="22"/>
          <w:szCs w:val="22"/>
        </w:rPr>
        <w:t xml:space="preserve"> (southern </w:t>
      </w:r>
      <w:proofErr w:type="gramStart"/>
      <w:r w:rsidRPr="001D7E5E">
        <w:rPr>
          <w:rFonts w:asciiTheme="majorBidi" w:hAnsiTheme="majorBidi" w:cstheme="majorBidi"/>
          <w:sz w:val="22"/>
          <w:szCs w:val="22"/>
        </w:rPr>
        <w:t>Germany )</w:t>
      </w:r>
      <w:proofErr w:type="gramEnd"/>
    </w:p>
    <w:p w:rsidR="00284248" w:rsidRPr="001D7E5E" w:rsidRDefault="00284248" w:rsidP="00324F2A">
      <w:pPr>
        <w:pStyle w:val="NormalWeb"/>
        <w:ind w:left="709"/>
        <w:rPr>
          <w:rFonts w:asciiTheme="majorBidi" w:hAnsiTheme="majorBidi" w:cstheme="majorBidi"/>
          <w:sz w:val="22"/>
          <w:szCs w:val="22"/>
        </w:rPr>
      </w:pPr>
      <w:r w:rsidRPr="001D7E5E">
        <w:rPr>
          <w:rFonts w:asciiTheme="majorBidi" w:hAnsiTheme="majorBidi" w:cstheme="majorBidi"/>
          <w:sz w:val="22"/>
          <w:szCs w:val="22"/>
        </w:rPr>
        <w:t>Although specific sampling dates are not available, the multi-year coverage provides a robust basis for temporal analysis.</w:t>
      </w:r>
    </w:p>
    <w:p w:rsidR="00284248" w:rsidRPr="001D7E5E" w:rsidRDefault="00284248" w:rsidP="00324F2A">
      <w:pPr>
        <w:pStyle w:val="Heading3"/>
        <w:ind w:left="709"/>
        <w:rPr>
          <w:rFonts w:asciiTheme="majorBidi" w:hAnsiTheme="majorBidi" w:cstheme="majorBidi"/>
          <w:sz w:val="22"/>
          <w:szCs w:val="22"/>
        </w:rPr>
      </w:pPr>
      <w:r w:rsidRPr="001D7E5E">
        <w:rPr>
          <w:rFonts w:asciiTheme="majorBidi" w:hAnsiTheme="majorBidi" w:cstheme="majorBidi"/>
          <w:sz w:val="22"/>
          <w:szCs w:val="22"/>
        </w:rPr>
        <w:t xml:space="preserve">2. </w:t>
      </w:r>
      <w:r w:rsidRPr="001D7E5E">
        <w:rPr>
          <w:rStyle w:val="Strong"/>
          <w:rFonts w:asciiTheme="majorBidi" w:hAnsiTheme="majorBidi" w:cstheme="majorBidi"/>
          <w:b/>
          <w:bCs/>
          <w:sz w:val="22"/>
          <w:szCs w:val="22"/>
        </w:rPr>
        <w:t>Quantitative Analysis</w:t>
      </w:r>
    </w:p>
    <w:p w:rsidR="00284248" w:rsidRPr="001D7E5E" w:rsidRDefault="00284248" w:rsidP="00324F2A">
      <w:pPr>
        <w:pStyle w:val="NormalWeb"/>
        <w:ind w:left="709"/>
        <w:rPr>
          <w:rFonts w:asciiTheme="majorBidi" w:hAnsiTheme="majorBidi" w:cstheme="majorBidi"/>
          <w:sz w:val="22"/>
          <w:szCs w:val="22"/>
        </w:rPr>
      </w:pPr>
      <w:r w:rsidRPr="001D7E5E">
        <w:rPr>
          <w:rFonts w:asciiTheme="majorBidi" w:hAnsiTheme="majorBidi" w:cstheme="majorBidi"/>
          <w:sz w:val="22"/>
          <w:szCs w:val="22"/>
        </w:rPr>
        <w:lastRenderedPageBreak/>
        <w:t xml:space="preserve">Quantitative data analysis will be performed using the </w:t>
      </w:r>
      <w:r w:rsidRPr="001D7E5E">
        <w:rPr>
          <w:rStyle w:val="Strong"/>
          <w:rFonts w:asciiTheme="majorBidi" w:hAnsiTheme="majorBidi" w:cstheme="majorBidi"/>
          <w:sz w:val="22"/>
          <w:szCs w:val="22"/>
        </w:rPr>
        <w:t>Python programming language</w:t>
      </w:r>
      <w:r w:rsidRPr="001D7E5E">
        <w:rPr>
          <w:rFonts w:asciiTheme="majorBidi" w:hAnsiTheme="majorBidi" w:cstheme="majorBidi"/>
          <w:sz w:val="22"/>
          <w:szCs w:val="22"/>
        </w:rPr>
        <w:t xml:space="preserve">, utilizing libraries such as </w:t>
      </w:r>
      <w:r w:rsidRPr="001D7E5E">
        <w:rPr>
          <w:rStyle w:val="HTMLCode"/>
          <w:rFonts w:asciiTheme="majorBidi" w:hAnsiTheme="majorBidi" w:cstheme="majorBidi"/>
          <w:sz w:val="22"/>
          <w:szCs w:val="22"/>
        </w:rPr>
        <w:t>pandas</w:t>
      </w:r>
      <w:r w:rsidRPr="001D7E5E">
        <w:rPr>
          <w:rFonts w:asciiTheme="majorBidi" w:hAnsiTheme="majorBidi" w:cstheme="majorBidi"/>
          <w:sz w:val="22"/>
          <w:szCs w:val="22"/>
        </w:rPr>
        <w:t xml:space="preserve">, </w:t>
      </w:r>
      <w:proofErr w:type="spellStart"/>
      <w:r w:rsidRPr="001D7E5E">
        <w:rPr>
          <w:rStyle w:val="HTMLCode"/>
          <w:rFonts w:asciiTheme="majorBidi" w:hAnsiTheme="majorBidi" w:cstheme="majorBidi"/>
          <w:sz w:val="22"/>
          <w:szCs w:val="22"/>
        </w:rPr>
        <w:t>numpy</w:t>
      </w:r>
      <w:proofErr w:type="spellEnd"/>
      <w:r w:rsidRPr="001D7E5E">
        <w:rPr>
          <w:rFonts w:asciiTheme="majorBidi" w:hAnsiTheme="majorBidi" w:cstheme="majorBidi"/>
          <w:sz w:val="22"/>
          <w:szCs w:val="22"/>
        </w:rPr>
        <w:t xml:space="preserve">, </w:t>
      </w:r>
      <w:proofErr w:type="spellStart"/>
      <w:r w:rsidRPr="001D7E5E">
        <w:rPr>
          <w:rStyle w:val="HTMLCode"/>
          <w:rFonts w:asciiTheme="majorBidi" w:hAnsiTheme="majorBidi" w:cstheme="majorBidi"/>
          <w:sz w:val="22"/>
          <w:szCs w:val="22"/>
        </w:rPr>
        <w:t>matplotlib</w:t>
      </w:r>
      <w:proofErr w:type="spellEnd"/>
      <w:r w:rsidRPr="001D7E5E">
        <w:rPr>
          <w:rFonts w:asciiTheme="majorBidi" w:hAnsiTheme="majorBidi" w:cstheme="majorBidi"/>
          <w:sz w:val="22"/>
          <w:szCs w:val="22"/>
        </w:rPr>
        <w:t xml:space="preserve">, and </w:t>
      </w:r>
      <w:proofErr w:type="spellStart"/>
      <w:r w:rsidRPr="001D7E5E">
        <w:rPr>
          <w:rStyle w:val="HTMLCode"/>
          <w:rFonts w:asciiTheme="majorBidi" w:hAnsiTheme="majorBidi" w:cstheme="majorBidi"/>
          <w:sz w:val="22"/>
          <w:szCs w:val="22"/>
        </w:rPr>
        <w:t>statsmodels</w:t>
      </w:r>
      <w:proofErr w:type="spellEnd"/>
      <w:r w:rsidRPr="001D7E5E">
        <w:rPr>
          <w:rFonts w:asciiTheme="majorBidi" w:hAnsiTheme="majorBidi" w:cstheme="majorBidi"/>
          <w:sz w:val="22"/>
          <w:szCs w:val="22"/>
        </w:rPr>
        <w:t>.</w:t>
      </w:r>
    </w:p>
    <w:p w:rsidR="00284248" w:rsidRPr="001D7E5E" w:rsidRDefault="00284248" w:rsidP="00324F2A">
      <w:pPr>
        <w:pStyle w:val="Heading4"/>
        <w:ind w:left="709"/>
        <w:rPr>
          <w:rFonts w:asciiTheme="majorBidi" w:hAnsiTheme="majorBidi"/>
          <w:i w:val="0"/>
          <w:iCs w:val="0"/>
          <w:color w:val="auto"/>
        </w:rPr>
      </w:pPr>
      <w:r w:rsidRPr="001D7E5E">
        <w:rPr>
          <w:rFonts w:asciiTheme="majorBidi" w:hAnsiTheme="majorBidi"/>
          <w:i w:val="0"/>
          <w:iCs w:val="0"/>
          <w:color w:val="auto"/>
        </w:rPr>
        <w:t>Key Variables for Analysis:</w:t>
      </w:r>
    </w:p>
    <w:p w:rsidR="00284248" w:rsidRPr="001D7E5E" w:rsidRDefault="00284248" w:rsidP="00324F2A">
      <w:pPr>
        <w:pStyle w:val="NormalWeb"/>
        <w:numPr>
          <w:ilvl w:val="0"/>
          <w:numId w:val="3"/>
        </w:numPr>
        <w:ind w:left="709"/>
        <w:rPr>
          <w:rFonts w:asciiTheme="majorBidi" w:hAnsiTheme="majorBidi" w:cstheme="majorBidi"/>
          <w:sz w:val="22"/>
          <w:szCs w:val="22"/>
        </w:rPr>
      </w:pPr>
      <w:r w:rsidRPr="001D7E5E">
        <w:rPr>
          <w:rStyle w:val="Strong"/>
          <w:rFonts w:asciiTheme="majorBidi" w:hAnsiTheme="majorBidi" w:cstheme="majorBidi"/>
          <w:sz w:val="22"/>
          <w:szCs w:val="22"/>
        </w:rPr>
        <w:t>TOC</w:t>
      </w:r>
      <w:r w:rsidRPr="001D7E5E">
        <w:rPr>
          <w:rFonts w:asciiTheme="majorBidi" w:hAnsiTheme="majorBidi" w:cstheme="majorBidi"/>
          <w:sz w:val="22"/>
          <w:szCs w:val="22"/>
        </w:rPr>
        <w:t xml:space="preserve"> – Total Organic Carbon (proxy for SOC)</w:t>
      </w:r>
    </w:p>
    <w:p w:rsidR="00284248" w:rsidRPr="001D7E5E" w:rsidRDefault="00284248" w:rsidP="00324F2A">
      <w:pPr>
        <w:pStyle w:val="NormalWeb"/>
        <w:numPr>
          <w:ilvl w:val="0"/>
          <w:numId w:val="3"/>
        </w:numPr>
        <w:ind w:left="709"/>
        <w:rPr>
          <w:rFonts w:asciiTheme="majorBidi" w:hAnsiTheme="majorBidi" w:cstheme="majorBidi"/>
          <w:sz w:val="22"/>
          <w:szCs w:val="22"/>
        </w:rPr>
      </w:pPr>
      <w:r w:rsidRPr="001D7E5E">
        <w:rPr>
          <w:rStyle w:val="Strong"/>
          <w:rFonts w:asciiTheme="majorBidi" w:hAnsiTheme="majorBidi" w:cstheme="majorBidi"/>
          <w:sz w:val="22"/>
          <w:szCs w:val="22"/>
        </w:rPr>
        <w:t>Water content</w:t>
      </w:r>
      <w:r w:rsidRPr="001D7E5E">
        <w:rPr>
          <w:rFonts w:asciiTheme="majorBidi" w:hAnsiTheme="majorBidi" w:cstheme="majorBidi"/>
          <w:sz w:val="22"/>
          <w:szCs w:val="22"/>
        </w:rPr>
        <w:t xml:space="preserve"> – Gravimetric moisture content</w:t>
      </w:r>
    </w:p>
    <w:p w:rsidR="00284248" w:rsidRPr="001D7E5E" w:rsidRDefault="00284248" w:rsidP="00324F2A">
      <w:pPr>
        <w:pStyle w:val="NormalWeb"/>
        <w:numPr>
          <w:ilvl w:val="0"/>
          <w:numId w:val="3"/>
        </w:numPr>
        <w:ind w:left="709"/>
        <w:rPr>
          <w:rFonts w:asciiTheme="majorBidi" w:hAnsiTheme="majorBidi" w:cstheme="majorBidi"/>
          <w:sz w:val="22"/>
          <w:szCs w:val="22"/>
        </w:rPr>
      </w:pPr>
      <w:r w:rsidRPr="001D7E5E">
        <w:rPr>
          <w:rStyle w:val="Strong"/>
          <w:rFonts w:asciiTheme="majorBidi" w:hAnsiTheme="majorBidi" w:cstheme="majorBidi"/>
          <w:sz w:val="22"/>
          <w:szCs w:val="22"/>
        </w:rPr>
        <w:t>Clay, Silt, Sand</w:t>
      </w:r>
      <w:r w:rsidRPr="001D7E5E">
        <w:rPr>
          <w:rFonts w:asciiTheme="majorBidi" w:hAnsiTheme="majorBidi" w:cstheme="majorBidi"/>
          <w:sz w:val="22"/>
          <w:szCs w:val="22"/>
        </w:rPr>
        <w:t xml:space="preserve"> – Soil texture components</w:t>
      </w:r>
    </w:p>
    <w:p w:rsidR="00284248" w:rsidRPr="001D7E5E" w:rsidRDefault="00284248" w:rsidP="00324F2A">
      <w:pPr>
        <w:pStyle w:val="NormalWeb"/>
        <w:numPr>
          <w:ilvl w:val="0"/>
          <w:numId w:val="3"/>
        </w:numPr>
        <w:ind w:left="709"/>
        <w:rPr>
          <w:rFonts w:asciiTheme="majorBidi" w:hAnsiTheme="majorBidi" w:cstheme="majorBidi"/>
          <w:sz w:val="22"/>
          <w:szCs w:val="22"/>
        </w:rPr>
      </w:pPr>
      <w:proofErr w:type="spellStart"/>
      <w:r w:rsidRPr="001D7E5E">
        <w:rPr>
          <w:rStyle w:val="Strong"/>
          <w:rFonts w:asciiTheme="majorBidi" w:hAnsiTheme="majorBidi" w:cstheme="majorBidi"/>
          <w:sz w:val="22"/>
          <w:szCs w:val="22"/>
        </w:rPr>
        <w:t>BD_bulk</w:t>
      </w:r>
      <w:proofErr w:type="spellEnd"/>
      <w:r w:rsidRPr="001D7E5E">
        <w:rPr>
          <w:rStyle w:val="Strong"/>
          <w:rFonts w:asciiTheme="majorBidi" w:hAnsiTheme="majorBidi" w:cstheme="majorBidi"/>
          <w:sz w:val="22"/>
          <w:szCs w:val="22"/>
        </w:rPr>
        <w:t>, BD_FS</w:t>
      </w:r>
      <w:r w:rsidRPr="001D7E5E">
        <w:rPr>
          <w:rFonts w:asciiTheme="majorBidi" w:hAnsiTheme="majorBidi" w:cstheme="majorBidi"/>
          <w:sz w:val="22"/>
          <w:szCs w:val="22"/>
        </w:rPr>
        <w:t xml:space="preserve"> – Bulk densities (field and fine soil)</w:t>
      </w:r>
    </w:p>
    <w:p w:rsidR="00284248" w:rsidRPr="001D7E5E" w:rsidRDefault="00284248" w:rsidP="00324F2A">
      <w:pPr>
        <w:pStyle w:val="NormalWeb"/>
        <w:numPr>
          <w:ilvl w:val="0"/>
          <w:numId w:val="3"/>
        </w:numPr>
        <w:ind w:left="709"/>
        <w:rPr>
          <w:rFonts w:asciiTheme="majorBidi" w:hAnsiTheme="majorBidi" w:cstheme="majorBidi"/>
          <w:sz w:val="22"/>
          <w:szCs w:val="22"/>
        </w:rPr>
      </w:pPr>
      <w:r w:rsidRPr="001D7E5E">
        <w:rPr>
          <w:rStyle w:val="Strong"/>
          <w:rFonts w:asciiTheme="majorBidi" w:hAnsiTheme="majorBidi" w:cstheme="majorBidi"/>
          <w:sz w:val="22"/>
          <w:szCs w:val="22"/>
        </w:rPr>
        <w:t>Soil texture class</w:t>
      </w:r>
      <w:r w:rsidRPr="001D7E5E">
        <w:rPr>
          <w:rFonts w:asciiTheme="majorBidi" w:hAnsiTheme="majorBidi" w:cstheme="majorBidi"/>
          <w:sz w:val="22"/>
          <w:szCs w:val="22"/>
        </w:rPr>
        <w:t xml:space="preserve"> – Categorical variable for classification</w:t>
      </w:r>
    </w:p>
    <w:p w:rsidR="00284248" w:rsidRPr="001D7E5E" w:rsidRDefault="00284248" w:rsidP="00324F2A">
      <w:pPr>
        <w:pStyle w:val="Heading4"/>
        <w:ind w:left="709"/>
        <w:rPr>
          <w:rFonts w:asciiTheme="majorBidi" w:hAnsiTheme="majorBidi"/>
          <w:i w:val="0"/>
          <w:iCs w:val="0"/>
          <w:color w:val="auto"/>
        </w:rPr>
      </w:pPr>
      <w:r w:rsidRPr="001D7E5E">
        <w:rPr>
          <w:rFonts w:asciiTheme="majorBidi" w:hAnsiTheme="majorBidi"/>
          <w:i w:val="0"/>
          <w:iCs w:val="0"/>
          <w:color w:val="auto"/>
        </w:rPr>
        <w:t>Statistical Techniques:</w:t>
      </w:r>
    </w:p>
    <w:p w:rsidR="00284248" w:rsidRPr="001D7E5E" w:rsidRDefault="00284248" w:rsidP="00324F2A">
      <w:pPr>
        <w:pStyle w:val="NormalWeb"/>
        <w:numPr>
          <w:ilvl w:val="0"/>
          <w:numId w:val="4"/>
        </w:numPr>
        <w:ind w:left="709"/>
        <w:rPr>
          <w:rFonts w:asciiTheme="majorBidi" w:hAnsiTheme="majorBidi" w:cstheme="majorBidi"/>
          <w:sz w:val="22"/>
          <w:szCs w:val="22"/>
        </w:rPr>
      </w:pPr>
      <w:r w:rsidRPr="001D7E5E">
        <w:rPr>
          <w:rStyle w:val="Strong"/>
          <w:rFonts w:asciiTheme="majorBidi" w:hAnsiTheme="majorBidi" w:cstheme="majorBidi"/>
          <w:sz w:val="22"/>
          <w:szCs w:val="22"/>
        </w:rPr>
        <w:t>Descriptive Statistics</w:t>
      </w:r>
      <w:r w:rsidRPr="001D7E5E">
        <w:rPr>
          <w:rFonts w:asciiTheme="majorBidi" w:hAnsiTheme="majorBidi" w:cstheme="majorBidi"/>
          <w:sz w:val="22"/>
          <w:szCs w:val="22"/>
        </w:rPr>
        <w:t>: Mean, standard deviation, distribution per region</w:t>
      </w:r>
    </w:p>
    <w:p w:rsidR="00284248" w:rsidRPr="001D7E5E" w:rsidRDefault="00284248" w:rsidP="00324F2A">
      <w:pPr>
        <w:pStyle w:val="NormalWeb"/>
        <w:numPr>
          <w:ilvl w:val="0"/>
          <w:numId w:val="4"/>
        </w:numPr>
        <w:ind w:left="709"/>
        <w:rPr>
          <w:rFonts w:asciiTheme="majorBidi" w:hAnsiTheme="majorBidi" w:cstheme="majorBidi"/>
          <w:sz w:val="22"/>
          <w:szCs w:val="22"/>
        </w:rPr>
      </w:pPr>
      <w:r w:rsidRPr="001D7E5E">
        <w:rPr>
          <w:rStyle w:val="Strong"/>
          <w:rFonts w:asciiTheme="majorBidi" w:hAnsiTheme="majorBidi" w:cstheme="majorBidi"/>
          <w:sz w:val="22"/>
          <w:szCs w:val="22"/>
        </w:rPr>
        <w:t>Correlation Analysis</w:t>
      </w:r>
      <w:r w:rsidRPr="001D7E5E">
        <w:rPr>
          <w:rFonts w:asciiTheme="majorBidi" w:hAnsiTheme="majorBidi" w:cstheme="majorBidi"/>
          <w:sz w:val="22"/>
          <w:szCs w:val="22"/>
        </w:rPr>
        <w:t>: To assess linear relationships between TOC and other variables</w:t>
      </w:r>
    </w:p>
    <w:p w:rsidR="00284248" w:rsidRPr="001D7E5E" w:rsidRDefault="00284248" w:rsidP="00324F2A">
      <w:pPr>
        <w:pStyle w:val="NormalWeb"/>
        <w:numPr>
          <w:ilvl w:val="0"/>
          <w:numId w:val="4"/>
        </w:numPr>
        <w:ind w:left="709"/>
        <w:rPr>
          <w:rFonts w:asciiTheme="majorBidi" w:hAnsiTheme="majorBidi" w:cstheme="majorBidi"/>
          <w:sz w:val="22"/>
          <w:szCs w:val="22"/>
        </w:rPr>
      </w:pPr>
      <w:r w:rsidRPr="001D7E5E">
        <w:rPr>
          <w:rStyle w:val="Strong"/>
          <w:rFonts w:asciiTheme="majorBidi" w:hAnsiTheme="majorBidi" w:cstheme="majorBidi"/>
          <w:sz w:val="22"/>
          <w:szCs w:val="22"/>
        </w:rPr>
        <w:t>Multiple Linear Regression</w:t>
      </w:r>
      <w:r w:rsidRPr="001D7E5E">
        <w:rPr>
          <w:rFonts w:asciiTheme="majorBidi" w:hAnsiTheme="majorBidi" w:cstheme="majorBidi"/>
          <w:sz w:val="22"/>
          <w:szCs w:val="22"/>
        </w:rPr>
        <w:t>: To model TOC as a function of water content, bulk density, and texture</w:t>
      </w:r>
    </w:p>
    <w:p w:rsidR="00284248" w:rsidRPr="001D7E5E" w:rsidRDefault="00284248" w:rsidP="00324F2A">
      <w:pPr>
        <w:pStyle w:val="NormalWeb"/>
        <w:ind w:left="709"/>
        <w:rPr>
          <w:rFonts w:asciiTheme="majorBidi" w:hAnsiTheme="majorBidi" w:cstheme="majorBidi"/>
          <w:sz w:val="22"/>
          <w:szCs w:val="22"/>
        </w:rPr>
      </w:pPr>
      <w:r w:rsidRPr="001D7E5E">
        <w:rPr>
          <w:rFonts w:asciiTheme="majorBidi" w:hAnsiTheme="majorBidi" w:cstheme="majorBidi"/>
          <w:sz w:val="22"/>
          <w:szCs w:val="22"/>
        </w:rPr>
        <w:t>TOC = β₀ + β₁*(Water content) + β₂*(Clay) + β₃*(</w:t>
      </w:r>
      <w:proofErr w:type="spellStart"/>
      <w:r w:rsidRPr="001D7E5E">
        <w:rPr>
          <w:rFonts w:asciiTheme="majorBidi" w:hAnsiTheme="majorBidi" w:cstheme="majorBidi"/>
          <w:sz w:val="22"/>
          <w:szCs w:val="22"/>
        </w:rPr>
        <w:t>BD_bulk</w:t>
      </w:r>
      <w:proofErr w:type="spellEnd"/>
      <w:r w:rsidRPr="001D7E5E">
        <w:rPr>
          <w:rFonts w:asciiTheme="majorBidi" w:hAnsiTheme="majorBidi" w:cstheme="majorBidi"/>
          <w:sz w:val="22"/>
          <w:szCs w:val="22"/>
        </w:rPr>
        <w:t>) + ... + ε</w:t>
      </w:r>
    </w:p>
    <w:p w:rsidR="00284248" w:rsidRPr="001D7E5E" w:rsidRDefault="00284248" w:rsidP="00324F2A">
      <w:pPr>
        <w:pStyle w:val="NormalWeb"/>
        <w:numPr>
          <w:ilvl w:val="0"/>
          <w:numId w:val="5"/>
        </w:numPr>
        <w:ind w:left="709"/>
        <w:rPr>
          <w:rFonts w:asciiTheme="majorBidi" w:hAnsiTheme="majorBidi" w:cstheme="majorBidi"/>
          <w:sz w:val="22"/>
          <w:szCs w:val="22"/>
        </w:rPr>
      </w:pPr>
      <w:r w:rsidRPr="001D7E5E">
        <w:rPr>
          <w:rStyle w:val="Strong"/>
          <w:rFonts w:asciiTheme="majorBidi" w:eastAsiaTheme="majorEastAsia" w:hAnsiTheme="majorBidi" w:cstheme="majorBidi"/>
          <w:sz w:val="22"/>
          <w:szCs w:val="22"/>
        </w:rPr>
        <w:t>Soil Type Sensitivity Analysis</w:t>
      </w:r>
      <w:r w:rsidRPr="001D7E5E">
        <w:rPr>
          <w:rFonts w:asciiTheme="majorBidi" w:hAnsiTheme="majorBidi" w:cstheme="majorBidi"/>
          <w:sz w:val="22"/>
          <w:szCs w:val="22"/>
        </w:rPr>
        <w:t>: To determine which texture classes are more responsive to moisture variation</w:t>
      </w:r>
    </w:p>
    <w:p w:rsidR="00284248" w:rsidRPr="001D7E5E" w:rsidRDefault="00284248" w:rsidP="00324F2A">
      <w:pPr>
        <w:spacing w:before="100" w:beforeAutospacing="1" w:after="100" w:afterAutospacing="1" w:line="240" w:lineRule="auto"/>
        <w:ind w:left="709"/>
        <w:outlineLvl w:val="2"/>
        <w:rPr>
          <w:rFonts w:asciiTheme="majorBidi" w:eastAsia="Times New Roman" w:hAnsiTheme="majorBidi" w:cstheme="majorBidi"/>
          <w:b/>
          <w:bCs/>
          <w:lang w:eastAsia="en-GB"/>
        </w:rPr>
      </w:pPr>
      <w:r w:rsidRPr="001D7E5E">
        <w:rPr>
          <w:rFonts w:asciiTheme="majorBidi" w:eastAsia="Times New Roman" w:hAnsiTheme="majorBidi" w:cstheme="majorBidi"/>
          <w:b/>
          <w:bCs/>
          <w:lang w:eastAsia="en-GB"/>
        </w:rPr>
        <w:t>3. Qualitative Analysis</w:t>
      </w:r>
    </w:p>
    <w:p w:rsidR="00284248" w:rsidRPr="001D7E5E" w:rsidRDefault="00284248" w:rsidP="00324F2A">
      <w:pPr>
        <w:spacing w:before="100" w:beforeAutospacing="1" w:after="100" w:afterAutospacing="1" w:line="240" w:lineRule="auto"/>
        <w:ind w:left="709"/>
        <w:rPr>
          <w:rFonts w:asciiTheme="majorBidi" w:eastAsia="Times New Roman" w:hAnsiTheme="majorBidi" w:cstheme="majorBidi"/>
          <w:lang w:eastAsia="en-GB"/>
        </w:rPr>
      </w:pPr>
      <w:r w:rsidRPr="001D7E5E">
        <w:rPr>
          <w:rFonts w:asciiTheme="majorBidi" w:eastAsia="Times New Roman" w:hAnsiTheme="majorBidi" w:cstheme="majorBidi"/>
          <w:lang w:eastAsia="en-GB"/>
        </w:rPr>
        <w:t>To complement empirical findings, the study incorporates a narrative literature</w:t>
      </w:r>
      <w:r w:rsidRPr="001D7E5E">
        <w:rPr>
          <w:rFonts w:asciiTheme="majorBidi" w:eastAsia="Times New Roman" w:hAnsiTheme="majorBidi" w:cstheme="majorBidi"/>
          <w:b/>
          <w:bCs/>
          <w:lang w:eastAsia="en-GB"/>
        </w:rPr>
        <w:t xml:space="preserve"> </w:t>
      </w:r>
      <w:r w:rsidRPr="001D7E5E">
        <w:rPr>
          <w:rFonts w:asciiTheme="majorBidi" w:eastAsia="Times New Roman" w:hAnsiTheme="majorBidi" w:cstheme="majorBidi"/>
          <w:lang w:eastAsia="en-GB"/>
        </w:rPr>
        <w:t>review of recent peer-reviewed studies focusing on:</w:t>
      </w:r>
    </w:p>
    <w:p w:rsidR="00284248" w:rsidRPr="001D7E5E" w:rsidRDefault="00284248" w:rsidP="00324F2A">
      <w:pPr>
        <w:numPr>
          <w:ilvl w:val="0"/>
          <w:numId w:val="6"/>
        </w:numPr>
        <w:spacing w:before="100" w:beforeAutospacing="1" w:after="100" w:afterAutospacing="1" w:line="240" w:lineRule="auto"/>
        <w:ind w:left="709"/>
        <w:rPr>
          <w:rFonts w:asciiTheme="majorBidi" w:eastAsia="Times New Roman" w:hAnsiTheme="majorBidi" w:cstheme="majorBidi"/>
          <w:lang w:eastAsia="en-GB"/>
        </w:rPr>
      </w:pPr>
      <w:r w:rsidRPr="001D7E5E">
        <w:rPr>
          <w:rFonts w:asciiTheme="majorBidi" w:eastAsia="Times New Roman" w:hAnsiTheme="majorBidi" w:cstheme="majorBidi"/>
          <w:lang w:eastAsia="en-GB"/>
        </w:rPr>
        <w:t>The effect of soil moisture on SOC stabilization and decomposition</w:t>
      </w:r>
    </w:p>
    <w:p w:rsidR="00284248" w:rsidRPr="001D7E5E" w:rsidRDefault="00284248" w:rsidP="00324F2A">
      <w:pPr>
        <w:numPr>
          <w:ilvl w:val="0"/>
          <w:numId w:val="6"/>
        </w:numPr>
        <w:spacing w:before="100" w:beforeAutospacing="1" w:after="100" w:afterAutospacing="1" w:line="240" w:lineRule="auto"/>
        <w:ind w:left="709"/>
        <w:rPr>
          <w:rFonts w:asciiTheme="majorBidi" w:eastAsia="Times New Roman" w:hAnsiTheme="majorBidi" w:cstheme="majorBidi"/>
          <w:lang w:eastAsia="en-GB"/>
        </w:rPr>
      </w:pPr>
      <w:r w:rsidRPr="001D7E5E">
        <w:rPr>
          <w:rFonts w:asciiTheme="majorBidi" w:eastAsia="Times New Roman" w:hAnsiTheme="majorBidi" w:cstheme="majorBidi"/>
          <w:lang w:eastAsia="en-GB"/>
        </w:rPr>
        <w:t>Microbial dynamics under varying water availability</w:t>
      </w:r>
    </w:p>
    <w:p w:rsidR="00284248" w:rsidRPr="001D7E5E" w:rsidRDefault="00BF2A2A" w:rsidP="00BF2A2A">
      <w:pPr>
        <w:numPr>
          <w:ilvl w:val="0"/>
          <w:numId w:val="6"/>
        </w:numPr>
        <w:spacing w:before="100" w:beforeAutospacing="1" w:after="100" w:afterAutospacing="1" w:line="240" w:lineRule="auto"/>
        <w:ind w:left="709"/>
        <w:rPr>
          <w:rFonts w:asciiTheme="majorBidi" w:eastAsia="Times New Roman" w:hAnsiTheme="majorBidi" w:cstheme="majorBidi"/>
          <w:lang w:eastAsia="en-GB"/>
        </w:rPr>
      </w:pPr>
      <w:r w:rsidRPr="001D7E5E">
        <w:rPr>
          <w:rFonts w:asciiTheme="majorBidi" w:hAnsiTheme="majorBidi" w:cstheme="majorBidi"/>
        </w:rPr>
        <w:t>The role of SOC in climate change mitigation</w:t>
      </w:r>
    </w:p>
    <w:p w:rsidR="00284248" w:rsidRPr="001D7E5E" w:rsidRDefault="00284248" w:rsidP="00324F2A">
      <w:pPr>
        <w:spacing w:before="100" w:beforeAutospacing="1" w:after="100" w:afterAutospacing="1" w:line="240" w:lineRule="auto"/>
        <w:ind w:left="709"/>
        <w:outlineLvl w:val="2"/>
        <w:rPr>
          <w:rFonts w:asciiTheme="majorBidi" w:eastAsia="Times New Roman" w:hAnsiTheme="majorBidi" w:cstheme="majorBidi"/>
          <w:b/>
          <w:bCs/>
          <w:lang w:eastAsia="en-GB"/>
        </w:rPr>
      </w:pPr>
      <w:r w:rsidRPr="001D7E5E">
        <w:rPr>
          <w:rFonts w:asciiTheme="majorBidi" w:eastAsia="Times New Roman" w:hAnsiTheme="majorBidi" w:cstheme="majorBidi"/>
          <w:b/>
          <w:bCs/>
          <w:lang w:eastAsia="en-GB"/>
        </w:rPr>
        <w:t>4. Integration &amp; Interpretation</w:t>
      </w:r>
    </w:p>
    <w:p w:rsidR="00284248" w:rsidRPr="001D7E5E" w:rsidRDefault="00284248" w:rsidP="00324F2A">
      <w:pPr>
        <w:spacing w:before="100" w:beforeAutospacing="1" w:after="100" w:afterAutospacing="1" w:line="240" w:lineRule="auto"/>
        <w:ind w:left="709"/>
        <w:rPr>
          <w:rFonts w:asciiTheme="majorBidi" w:eastAsia="Times New Roman" w:hAnsiTheme="majorBidi" w:cstheme="majorBidi"/>
          <w:lang w:eastAsia="en-GB"/>
        </w:rPr>
      </w:pPr>
      <w:r w:rsidRPr="001D7E5E">
        <w:rPr>
          <w:rFonts w:asciiTheme="majorBidi" w:eastAsia="Times New Roman" w:hAnsiTheme="majorBidi" w:cstheme="majorBidi"/>
          <w:lang w:eastAsia="en-GB"/>
        </w:rPr>
        <w:t>Findings from both quantitative and qualitative analyses will be integrated to interpret:</w:t>
      </w:r>
    </w:p>
    <w:p w:rsidR="00284248" w:rsidRPr="001D7E5E" w:rsidRDefault="00284248" w:rsidP="00324F2A">
      <w:pPr>
        <w:numPr>
          <w:ilvl w:val="0"/>
          <w:numId w:val="7"/>
        </w:numPr>
        <w:spacing w:before="100" w:beforeAutospacing="1" w:after="100" w:afterAutospacing="1" w:line="240" w:lineRule="auto"/>
        <w:ind w:left="709"/>
        <w:rPr>
          <w:rFonts w:asciiTheme="majorBidi" w:eastAsia="Times New Roman" w:hAnsiTheme="majorBidi" w:cstheme="majorBidi"/>
          <w:lang w:eastAsia="en-GB"/>
        </w:rPr>
      </w:pPr>
      <w:r w:rsidRPr="001D7E5E">
        <w:rPr>
          <w:rFonts w:asciiTheme="majorBidi" w:eastAsia="Times New Roman" w:hAnsiTheme="majorBidi" w:cstheme="majorBidi"/>
          <w:lang w:eastAsia="en-GB"/>
        </w:rPr>
        <w:t>Regional differences in SOC–moisture relationships</w:t>
      </w:r>
    </w:p>
    <w:p w:rsidR="00284248" w:rsidRPr="001D7E5E" w:rsidRDefault="00284248" w:rsidP="00BF2A2A">
      <w:pPr>
        <w:numPr>
          <w:ilvl w:val="0"/>
          <w:numId w:val="7"/>
        </w:numPr>
        <w:spacing w:before="100" w:beforeAutospacing="1" w:after="100" w:afterAutospacing="1" w:line="240" w:lineRule="auto"/>
        <w:ind w:left="709"/>
        <w:rPr>
          <w:rFonts w:asciiTheme="majorBidi" w:eastAsia="Times New Roman" w:hAnsiTheme="majorBidi" w:cstheme="majorBidi"/>
          <w:lang w:eastAsia="en-GB"/>
        </w:rPr>
      </w:pPr>
      <w:r w:rsidRPr="001D7E5E">
        <w:rPr>
          <w:rFonts w:asciiTheme="majorBidi" w:eastAsia="Times New Roman" w:hAnsiTheme="majorBidi" w:cstheme="majorBidi"/>
          <w:lang w:eastAsia="en-GB"/>
        </w:rPr>
        <w:t>Sensitivity of different soil textures to water content changes</w:t>
      </w:r>
    </w:p>
    <w:p w:rsidR="00284248" w:rsidRPr="001D7E5E" w:rsidRDefault="00284248" w:rsidP="00324F2A">
      <w:pPr>
        <w:pStyle w:val="NormalWeb"/>
        <w:ind w:left="709"/>
        <w:rPr>
          <w:rFonts w:asciiTheme="majorBidi" w:hAnsiTheme="majorBidi" w:cstheme="majorBidi"/>
          <w:sz w:val="22"/>
          <w:szCs w:val="22"/>
        </w:rPr>
      </w:pPr>
    </w:p>
    <w:p w:rsidR="007D6E83" w:rsidRPr="001D7E5E" w:rsidRDefault="007D6E83" w:rsidP="00324F2A">
      <w:pPr>
        <w:ind w:left="709"/>
        <w:rPr>
          <w:rFonts w:asciiTheme="majorBidi" w:hAnsiTheme="majorBidi" w:cstheme="majorBidi"/>
        </w:rPr>
      </w:pPr>
    </w:p>
    <w:sectPr w:rsidR="007D6E83" w:rsidRPr="001D7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54162"/>
    <w:multiLevelType w:val="multilevel"/>
    <w:tmpl w:val="3668A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31B21"/>
    <w:multiLevelType w:val="multilevel"/>
    <w:tmpl w:val="CC18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D5130"/>
    <w:multiLevelType w:val="multilevel"/>
    <w:tmpl w:val="A4F60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B2E3008"/>
    <w:multiLevelType w:val="multilevel"/>
    <w:tmpl w:val="BC2A3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A0FC2"/>
    <w:multiLevelType w:val="multilevel"/>
    <w:tmpl w:val="8888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37D30"/>
    <w:multiLevelType w:val="hybridMultilevel"/>
    <w:tmpl w:val="C3DC6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B4F49C8"/>
    <w:multiLevelType w:val="multilevel"/>
    <w:tmpl w:val="A746B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48"/>
    <w:rsid w:val="001D7E5E"/>
    <w:rsid w:val="00284248"/>
    <w:rsid w:val="00324F2A"/>
    <w:rsid w:val="00355AAA"/>
    <w:rsid w:val="00480ED7"/>
    <w:rsid w:val="007D6E83"/>
    <w:rsid w:val="008B0DEB"/>
    <w:rsid w:val="008C3CE3"/>
    <w:rsid w:val="008E53FD"/>
    <w:rsid w:val="008F4AE3"/>
    <w:rsid w:val="00A560BF"/>
    <w:rsid w:val="00BF2A2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2CBEA"/>
  <w15:chartTrackingRefBased/>
  <w15:docId w15:val="{E86121A6-0F88-4A54-B015-09491ADD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248"/>
    <w:pPr>
      <w:spacing w:line="256" w:lineRule="auto"/>
    </w:pPr>
  </w:style>
  <w:style w:type="paragraph" w:styleId="Heading3">
    <w:name w:val="heading 3"/>
    <w:basedOn w:val="Normal"/>
    <w:link w:val="Heading3Char"/>
    <w:uiPriority w:val="9"/>
    <w:semiHidden/>
    <w:unhideWhenUsed/>
    <w:qFormat/>
    <w:rsid w:val="0028424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842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8424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28424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284248"/>
    <w:rPr>
      <w:color w:val="0000FF"/>
      <w:u w:val="single"/>
    </w:rPr>
  </w:style>
  <w:style w:type="character" w:styleId="HTMLCode">
    <w:name w:val="HTML Code"/>
    <w:basedOn w:val="DefaultParagraphFont"/>
    <w:uiPriority w:val="99"/>
    <w:semiHidden/>
    <w:unhideWhenUsed/>
    <w:rsid w:val="00284248"/>
    <w:rPr>
      <w:rFonts w:ascii="Courier New" w:eastAsia="Times New Roman" w:hAnsi="Courier New" w:cs="Courier New" w:hint="default"/>
      <w:sz w:val="20"/>
      <w:szCs w:val="20"/>
    </w:rPr>
  </w:style>
  <w:style w:type="paragraph" w:styleId="NormalWeb">
    <w:name w:val="Normal (Web)"/>
    <w:basedOn w:val="Normal"/>
    <w:uiPriority w:val="99"/>
    <w:unhideWhenUsed/>
    <w:rsid w:val="002842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84248"/>
    <w:rPr>
      <w:b/>
      <w:bCs/>
    </w:rPr>
  </w:style>
  <w:style w:type="character" w:customStyle="1" w:styleId="editortnoteditedwurp8">
    <w:name w:val="editor_t__not_edited__wurp8"/>
    <w:basedOn w:val="DefaultParagraphFont"/>
    <w:rsid w:val="00480ED7"/>
  </w:style>
  <w:style w:type="character" w:customStyle="1" w:styleId="editortaddedltunj">
    <w:name w:val="editor_t__added__ltunj"/>
    <w:basedOn w:val="DefaultParagraphFont"/>
    <w:rsid w:val="00480ED7"/>
  </w:style>
  <w:style w:type="character" w:customStyle="1" w:styleId="editortnoteditedlongjunnx">
    <w:name w:val="editor_t__not_edited_long__junnx"/>
    <w:basedOn w:val="DefaultParagraphFont"/>
    <w:rsid w:val="0048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182082">
      <w:bodyDiv w:val="1"/>
      <w:marLeft w:val="0"/>
      <w:marRight w:val="0"/>
      <w:marTop w:val="0"/>
      <w:marBottom w:val="0"/>
      <w:divBdr>
        <w:top w:val="none" w:sz="0" w:space="0" w:color="auto"/>
        <w:left w:val="none" w:sz="0" w:space="0" w:color="auto"/>
        <w:bottom w:val="none" w:sz="0" w:space="0" w:color="auto"/>
        <w:right w:val="none" w:sz="0" w:space="0" w:color="auto"/>
      </w:divBdr>
      <w:divsChild>
        <w:div w:id="1717270367">
          <w:marLeft w:val="0"/>
          <w:marRight w:val="0"/>
          <w:marTop w:val="0"/>
          <w:marBottom w:val="160"/>
          <w:divBdr>
            <w:top w:val="none" w:sz="0" w:space="0" w:color="auto"/>
            <w:left w:val="none" w:sz="0" w:space="0" w:color="auto"/>
            <w:bottom w:val="none" w:sz="0" w:space="0" w:color="auto"/>
            <w:right w:val="none" w:sz="0" w:space="0" w:color="auto"/>
          </w:divBdr>
        </w:div>
        <w:div w:id="200724312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agrar.de/receive/openagrar_mods_000548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3</Pages>
  <Words>923</Words>
  <Characters>5525</Characters>
  <Application>Microsoft Office Word</Application>
  <DocSecurity>0</DocSecurity>
  <Lines>102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49178</dc:creator>
  <cp:keywords/>
  <dc:description/>
  <cp:lastModifiedBy>49178</cp:lastModifiedBy>
  <cp:revision>5</cp:revision>
  <cp:lastPrinted>2025-08-09T06:04:00Z</cp:lastPrinted>
  <dcterms:created xsi:type="dcterms:W3CDTF">2025-08-07T13:37:00Z</dcterms:created>
  <dcterms:modified xsi:type="dcterms:W3CDTF">2025-08-09T06:24:00Z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d65c3f46-1372-462c-97cc-4d8888b3fc40</vt:lpwstr>
  </property>
</Properties>
</file>