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>
      <w:pPr>
        <w:jc w:val="right"/>
      </w:pPr>
      <w:r>
        <w:rPr>
          <w:b/>
          <w:color w:val="334466"/>
          <w:sz w:val="20"/>
        </w:rPr>
        <w:t>رقم الأرشيف: HR-2026-0004    |    2026-03-14 22:53</w:t>
      </w:r>
    </w:p>
    <w:p/>
    <w:p>
      <w:pPr>
        <w:jc w:val="right"/>
      </w:pPr>
      <w:r>
        <w:t>hhhhhhhhhhhhhhhhhhhhhhhh</w:t>
      </w:r>
    </w:p>
    <w:p/>
    <w:p>
      <w:r>
        <w:t>✅ توقيع معتمد | الرقم: SIG-20260314-225429-0003 | التاريخ: 2026-03-14 22:54</w:t>
      </w:r>
    </w:p>
    <w:p>
      <w:r>
        <w:t>التوقيع:</w:t>
      </w:r>
    </w:p>
    <w:p>
      <w:r>
        <w:drawing>
          <wp:inline xmlns:pic="http://schemas.openxmlformats.org/drawingml/2006/picture">
            <wp:extent cx="2011680" cy="830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300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