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 - RELATÓRIO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Trata-se de ação de obrigação de fazer c/c danos morais e materiais proposta por FLORISMAR MARREIROS DA SILVA, em face de BANCO BRADESCO S.A., pelos motivos expostos na inicial.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autora alega na inicial (Id. 70231310), em resumo, que recebe seu benefício previdenciário em conta mantida junto ao réu e que, sem ter contratado, autorizado ou usufruído de qualquer serviço, sofre débitos da tarifa “CESTA B.EXPRESSO1” desde 30/01/2020, em 64 parcelas, no valor de R$ 2.490,59 (planilha de Id. 70231316).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Por isso, requer a conversão da conta corrente em conta benefício ou, subsidiariamente, a suspensão dos descontos, a restituição em dobro dos valores descontados e indenização por danos morais no valor de R$ 10.000,00.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Citado, o demandado apresentou contestação (Id. 85161639) alegando, em síntese, que a cesta de serviços foi regularmente contratada e utilizada pela parte autora, que realizou operações além dos serviços essenciais, inexistindo ato ilícito, dano moral ou dever de restituição em dobro.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réplica (Id. 85241780), a parte autora alegou que o réu não juntou o contrato de adesão à cesta de serviços e que é pessoa analfabeta.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Vieram os autos conclusos.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É o relatório. Fundamento e decido.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 - FUNDAMENTO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Julgamento do processo no estado em que se encontra.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Da análise dos autos, oportuno o julgamento do processo no estado em que se encontra, sendo desnecessária maior dilação probatória, eis que o acervo probatório é suficiente para o deslinde do feito, nos termos do art. 355, I do CPC.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Prescrição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 início, considerando que se aplica ao caso o prazo prescricional de 05 (cinco) anos previsto no art. 27 do CDC, pois se trata de relação de consumo, não reconheço a ocorrência de prescrição da pretensão da parte autora. Devem ser consideradas prescritas todas as parcelas descontadas há mais de 05 (cinco) anos do ajuizamento da demanda.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Descontos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síntese, afirma a parte autora que alega que a parte demandada descontou valores de suposta tarifa bancária “CESTA B.EXPRESSO1” que nunca foi objeto de negócio entre as partes, pelo que pede a restituição em dobro dos valores descontados indevidamente e indenização pelos danos morais.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Natureza da relação jurídica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As instituições financeiras e os bancos, como prestadores de serviço especialmente contemplados no artigo 3º, § 2º, da Lei n. 8.078/1990, estão “submetidos às disposições do Código de Defesa do Consumidor” (STJ, 3a Turma, AgREsp 219092, Rel. Min. Nancy Andrighi, unânime, j. 07.12.2000, DJ 05.02.2001). Este entendimento está pacificado e sumulado pelo STJ: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STJ | Súmula 297</w:t>
      </w: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O Código de Defesa do Consumidor é aplicável às instituições financeiras.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caso em tela, as relações entre a parte autora e o parte demandada devem ser reguladas, portanto, pelo Código de Defesa do Consumidor.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Ônus da prova neste caso concreto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efeito, em causas como a debatida, incumbe à parte demandada a prova da existência do legítimo contrato que justifique os débitos da tarifa “CESTA B.EXPRESSO1” na conta em que a parte autora recebe seu benefício previdenciário, mormente em face da inversão do ônus da prova imposta pela hipossuficiência da demandante (art. 6º, VIII, da Lei n. 8.078/90).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Ademais, deve-se aplicar o princípio da carga dinâmica das provas para atribuir à parte demandada o ônus de demonstrar a existência dos fatos que lhe aproveitam. Ora, deixar ao consumidor o ônus de provar a inexistência de contrato é exigir que se prove fato negativo, somente possível através de elementos indiretos e de efetivação onerosa e complexa, portanto, inviável. Lado outro, à demandada seria por demais simples a prova da legítima contratação com a demandante, bastando apresentar o instrumento do contrato e documentos correlatos.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Nessa ótica, considerado invertido o ônus probandi, deveria o demandado juntar aos autos virtuais o instrumento do contrato que alega legítimo, com a assinatura das partes, e documentos pessoais da demandante.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Nota-se que a parte requerida não juntou aos autos virtuais documentação capaz de comprovar a realização da contratação questionada em juízo, não se desincumbindo do ônus que lhe impõe a atividade probatória nesta seara. Por essas constatações, é imperioso considerar os pedidos da inicial até onde são coerentes com o demonstrado na lide e aplicar a legislação de defesa dos consumidores, bem como a legislação civil brasileira.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Ato ilícito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demandada, ao desviar-se do ordenamento jurídico brasileiro, que exige bilateralismo hígido nas relações negociais, cometeu ato ilícito. Portanto, deve a conduta ser tida como cobrança indevida, causadora de evidente dano material. Tal fato, nos termos do art. 42, Parágrafo único, do CDC, impõe a restituição em dobro do indébito, com correção monetária e juros legais.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Danos morais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Do que se encontra comprovado nos autos, considero que a parte demandante também merece amparo no que concerne ao pedido de condenação por danos morais. Realmente, ao proceder aos descontos indevidos e não autorizados no valor do benefício previdenciário da parte autora, a instituição financeira ré produziu danos à dignidade da pessoa idosa, privando-a dos poucos valores de que dispõe para a manutenção de sua vida, já fragilizada pelo decurso inexorável do tempo e pela hipossuficiência econômica.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Não há como considerar-se mero dissabor ou simples inconveniente na retirada de parte dos valores destinados à manutenção da pessoa idosa, eis que nessa fase da vida as necessidades materiais se multiplicam enquanto a capacidade de resistência física e moral aos agravos sofridos resta sensivelmente diminuída. Tenha-se que a importância de preservar-se o idoso das investidas injustas e de qualquer tipo de negligência foi sentida pelo legislado, que estabeleceu um estatuto próprio para as pessoas dessa faixa etária, visando à sua proteção integral (Lei n. 10.741/2003).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Demonstrada a ilicitude dos descontos nos proventos da parte autora, mormente pela juntada de documento, comprovado o dano e o nexo de causalidade, resta apenas quantificar o valor da indenização.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Questão das mais tormentosas na doutrina, por falta de balizas legais seguras, o valor da indenização por dano moral deve ser fixado em montante razoável que, de um lado, promova um conforto ao lesado capaz de compensar a dor moral sofrida e, de outro, imprima sanção ao causador do dano, como desestímulo à prática de outras condutas danosas.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presente caso, assiste direito à parte autora de obter indenização pelo dano moral sofrido, entretanto, o valor deve ser fixado com observância da razoabilidade, sob pena de ser insignificante, se muito baixo, ou de causar enriquecimento ilícito, se por demais elevado.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Tenho por significativa a extensão do dano moral sofrido pela autora no caso em comento, em face do constante nos autos, mormente pelo tempo decorrido desde o início dos descontos indevidos.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as peculiaridades do caso, com foco no valor dos descontos indevidos, na repercussão da ofensa e na posição social da parte autora, tenho como razoável a condenação do réu a pagar o valor de R$ 3.000,00 (três mil reais) a título de indenização por danos morais, quantia que entendo suficiente para satisfazer a reparação da lesão experimentada pela parte autora e para coibir a prática de outras condutas ilícitas semelhantes pela parte ré, sem se tornar fonte de enriquecimento ilícito.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III - DISPOSITIVO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Pelo exposto, com fundamento nos arts. 186 e 927 do CC, nos arts. 6º, VIII, e 14 do CDC, c/c o art. 487, I, do CPC, JULGO PROCEDENTES os pedidos para declarar inexistente a relação jurídica quanto à tarifa “CESTA B.EXPRESSO1” e inexigível o débito dela decorrente, e condenar a parte demandada a restituir em dobro os valores debitados da conta da parte autora, cessando de imediato as cobranças e cancelando a cesta de serviços.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Condeno, ainda, a parte demandada ao pagamento de indenização por danos morais no valor de R$ 3.000,00 (três mil reais).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Sobre a indenização por danos morais incidem correção monetária pelo IPCA desde o arbitramento (Súmula 362 do STJ) e juros de mora pela taxa legal (art. 406, § 1º, do CC) desde o evento danoso (Súmula 54 do STJ).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o prazo prescricional de 05 (cinco) anos do art. 27 do CDC, a restituição alcança apenas as parcelas não prescritas.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 valor da restituição será acrescido de juros de mora pela taxa legal (art. 406, § 1º, do CC) desde a citação e de correção monetária pelo IPCA desde cada débito (art. 389, parágrafo único, do CC).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Custas pela parte demandada. Fixo honorários em 10% (dez por cento) sobre o valor da condenação.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Publique-se. Registre-se. Intimem-se.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o trânsito em julgado, cumprida a sentença, arquivem-se os autos com a devida baixa.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Havendo apelação, intime-se a parte contrária para contrarrazões em 15 (quinze) dias e, após, remetam-se os autos ao e. Tribunal de Justiça.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ITAUEIRA-PI, [[[CONFERIR NOS AUTOS]]].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MÁRIO SOARES DE ALENCAR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Juiz de Direito da Vara Única da Comarca de Itaueira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