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 - RELATÓRIO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Trata-se de ação de obrigação de fazer c/c danos morais e materiais proposta por JOSEFA PEREIRA DA SILVA, em face de BANCO BRADESCO S.A., pelos motivos expostos na inicial.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autora alega na inicial (Id. 70265163), em resumo, que, sem ter contratado, sofre débitos da tarifa “CESTA B.EXPRESSO1” na conta em que recebe seu benefício, desde 15/01/2020, em 68 parcelas, no valor de R$ 2.630,07 (planilha de Id. 70265178).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Por isso, requer a conversão da conta corrente em conta benefício ou, subsidiariamente, a suspensão dos descontos, a restituição em dobro dos valores descontados e indenização por danos morais no valor de R$ 10.000,00.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Citado, o demandado apresentou contestação (Id. 85068634) alegando, em síntese, que a cesta de serviços foi regularmente contratada e utilizada pela autora além dos serviços essenciais, inexistindo ato ilícito, dano moral ou dever de restituição em dobro.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réplica (Id. 85242215), a parte autora alegou que o réu não juntou o contrato de adesão à cesta de serviços e que é pessoa analfabeta.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Vieram os autos conclusos.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É o relatório. Fundamento e decido.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 - FUNDAMENTO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Julgamento do processo no estado em que se encontra.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Da análise dos autos, oportuno o julgamento do processo no estado em que se encontra, sendo desnecessária maior dilação probatória, eis que o acervo probatório é suficiente para o deslinde do feito, nos termos do art. 355, I do CPC.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Prescrição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 início, considerando que se aplica ao caso o prazo prescricional de 05 (cinco) anos previsto no art. 27 do CDC, pois se trata de relação de consumo, não reconheço a ocorrência de prescrição da pretensão da parte autora. Devem ser consideradas prescritas todas as parcelas descontadas há mais de 05 (cinco) anos do ajuizamento da demanda.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Descontos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Em síntese, afirma a parte autora que a parte demandada descontou valores de suposta tarifa bancária “CESTA B.EXPRESSO1” que nunca foi objeto de negócio entre as partes, pelo que pede a restituição em dobro dos valores descontados indevidamente e indenização pelos danos morais.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Natureza da relação jurídica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As instituições financeiras e os bancos, como prestadores de serviço especialmente contemplados no artigo 3º, § 2º, da Lei n. 8.078/1990, estão “submetidos às disposições do Código de Defesa do Consumidor” (STJ, 3a Turma, AgREsp 219092, Rel. Min. Nancy Andrighi, unânime, j. 07.12.2000, DJ 05.02.2001). Este entendimento está pacificado e sumulado pelo STJ: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STJ | Súmula 297</w:t>
      </w:r>
    </w:p>
    <w:p>
      <w:pPr>
        <w:spacing w:before="0" w:after="0" w:line="240" w:lineRule="auto"/>
        <w:ind w:firstLine="0" w:left="2268"/>
        <w:jc w:val="both"/>
      </w:pPr>
      <w:r>
        <w:rPr>
          <w:rFonts w:ascii="Times New Roman" w:hAnsi="Times New Roman"/>
          <w:b w:val="0"/>
          <w:color w:val="000000"/>
          <w:sz w:val="20"/>
        </w:rPr>
        <w:t xml:space="preserve">O Código de Defesa do Consumidor é aplicável às instituições financeiras.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caso em tela, as relações entre a parte autora e a parte demandada devem ser reguladas, portanto, pelo Código de Defesa do Consumidor.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Ônus da prova neste caso concreto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efeito, em causas como a debatida, incumbe à parte demandada a prova da existência do legítimo contrato que justifique os débitos da tarifa “CESTA B.EXPRESSO1” na conta em que a parte autora recebe seu benefício previdenciário, mormente em face da inversão do ônus da prova imposta pela hipossuficiência da demandante (art. 6º, VIII, da Lei n. 8.078/90).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Ademais, deve-se aplicar o princípio da carga dinâmica das provas para atribuir à parte demandada o ônus de demonstrar a existência dos fatos que lhe aproveitam. Ora, deixar ao consumidor o ônus de provar a inexistência de contrato é exigir que se prove fato negativo, somente possível através de elementos indiretos e de efetivação onerosa e complexa, portanto, inviável. Lado outro, à demandada seria por demais simples a prova da legítima contratação com a demandante, bastando apresentar o instrumento do contrato e documentos correlatos.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Nessa ótica, considerado invertido o ônus probandi, deveria o demandado juntar aos autos virtuais o instrumento do contrato que alega legítimo, com a assinatura das partes, e documentos pessoais da demandante.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Nota-se que a parte requerida não juntou aos autos virtuais documentação capaz de comprovar a realização da contratação questionada em juízo, não se desincumbindo do ônus que lhe impõe a atividade probatória nesta seara. Por essas constatações, é imperioso considerar os pedidos da inicial até onde são coerentes com o demonstrado na lide e aplicar a legislação de defesa dos consumidores, bem como a legislação civil brasileira.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Ato ilícito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A parte demandada, ao desviar-se do ordenamento jurídico brasileiro, que exige bilateralismo hígido nas relações negociais, cometeu ato ilícito. Portanto, deve a conduta ser tida como cobrança indevida, causadora de evidente dano material. Tal fato, nos termos do art. 42, Parágrafo único, do CDC, impõe a restituição em dobro do indébito, com correção monetária e juros legais.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/>
          <w:b/>
          <w:color w:val="000000"/>
          <w:sz w:val="24"/>
        </w:rPr>
        <w:t xml:space="preserve">Danos morais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Do que se encontra comprovado nos autos, considero que a parte demandante também merece amparo no que concerne ao pedido de condenação por danos morais. Realmente, ao proceder aos descontos indevidos e não autorizados no valor do benefício previdenciário da parte autora, a instituição financeira ré produziu danos à dignidade da pessoa idosa, privando-a dos poucos valores de que dispõe para a manutenção de sua vida, já fragilizada pelo decurso inexorável do tempo e pela hipossuficiência econômica.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Não há como considerar-se mero dissabor ou simples inconveniente na retirada de parte dos valores destinados à manutenção da pessoa idosa, eis que nessa fase da vida as necessidades materiais se multiplicam enquanto a capacidade de resistência física e moral aos agravos sofridos resta sensivelmente diminuída. Tenha-se que a importância de preservar-se o idoso das investidas injustas e de qualquer tipo de negligência foi sentida pelo legislado, que estabeleceu um estatuto próprio para as pessoas dessa faixa etária, visando à sua proteção integral (Lei n. 10.741/2003).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Demonstrada a ilicitude dos descontos nos proventos da parte autora, mormente pela juntada de documento, comprovado o dano e o nexo de causalidade, resta apenas quantificar o valor da indenização.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Questão das mais tormentosas na doutrina, por falta de balizas legais seguras, o valor da indenização por dano moral deve ser fixado em montante razoável que, de um lado, promova um conforto ao lesado capaz de compensar a dor moral sofrida e, de outro, imprima sanção ao causador do dano, como desestímulo à prática de outras condutas danosas.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No presente caso, assiste direito à parte autora de obter indenização pelo dano moral sofrido, entretanto, o valor deve ser fixado com observância da razoabilidade, sob pena de ser insignificante, se muito baixo, ou de causar enriquecimento ilícito, se por demais elevado.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Tenho por significativa a extensão do dano moral sofrido pela autora no caso em comento, em face do constante nos autos, mormente pelo tempo decorrido desde o início dos descontos indevidos.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as peculiaridades do caso, com foco no valor dos descontos indevidos, na repercussão da ofensa e na posição social da parte autora, tenho como razoável a condenação do réu a pagar o valor de R$ 3.000,00 (três mil reais) a título de indenização por danos morais, quantia que entendo suficiente para satisfazer a reparação da lesão experimentada pela parte autora e para coibir a prática de outras condutas ilícitas semelhantes pela parte ré, sem se tornar fonte de enriquecimento ilícito.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III - DISPOSITIVO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Pelo exposto, com fundamento nos arts. 186 e 927 do CC, nos arts. 6º, VIII, e 14 do CDC, c/c o art. 487, I, do CPC, JULGO PROCEDENTES os pedidos para declarar inexistente a relação jurídica quanto à tarifa “CESTA B.EXPRESSO1” e inexigível o débito dela decorrente, e condenar a parte demandada a restituir em dobro os valores debitados da conta da parte autora, cessando de imediato as cobranças e cancelando a cesta de serviços.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Condeno, ainda, a parte demandada ao pagamento de indenização por danos morais no valor de R$ 3.000,00 (três mil reais).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Sobre a indenização por danos morais incidem correção monetária pelo IPCA desde o arbitramento (Súmula 362 do STJ) e juros de mora pela taxa legal (art. 406, § 1º, do CC) desde o evento danoso (Súmula 54 do STJ).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Considerando o prazo prescricional de 05 (cinco) anos do art. 27 do CDC, a restituição alcança apenas as parcelas não prescritas.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O valor da restituição será acrescido de juros de mora pela taxa legal (art. 406, § 1º, do CC) desde a citação e de correção monetária pelo IPCA desde cada débito (art. 389, parágrafo único, do CC).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Custas pela parte demandada. Fixo honorários em 10% (dez por cento) sobre o valor da condenação.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Publique-se. Registre-se. Intimem-se.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Com o trânsito em julgado, cumprida a sentença, arquivem-se os autos com a devida baixa.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/>
          <w:b w:val="0"/>
          <w:color w:val="000000"/>
          <w:sz w:val="24"/>
        </w:rPr>
        <w:t xml:space="preserve">Havendo apelação, intime-se a parte contrária para contrarrazões em 15 (quinze) dias e, após, remetam-se os autos ao e. Tribunal de Justiça.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ITAUEIRA-PI, [[[CONFERIR NOS AUTOS]]].</w:t>
      </w: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left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/>
          <w:color w:val="000000"/>
          <w:sz w:val="24"/>
        </w:rPr>
        <w:t xml:space="preserve">MÁRIO SOARES DE ALENCAR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/>
          <w:b w:val="0"/>
          <w:color w:val="000000"/>
          <w:sz w:val="24"/>
        </w:rPr>
        <w:t xml:space="preserve">Juiz de Direito da Vara Única da Comarca de Itaueira</w:t>
      </w: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