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360" w:lineRule="auto"/>
        <w:ind w:firstLine="0" w:left="0"/>
        <w:jc w:val="center"/>
      </w:pPr>
      <w:r>
        <w:rPr>
          <w:rFonts w:ascii="Times New Roman" w:hAnsi="Times New Roman"/>
          <w:b/>
          <w:color w:val="000000"/>
          <w:sz w:val="24"/>
        </w:rPr>
        <w:t xml:space="preserve">I - RELATÓRIO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Trata-se de ação declaratória de inexistência de débito c/c indenização por danos morais e materiais proposta por MARIA EDINAR ALVES RODRIGUES, em face de BANCO DO BRASIL S.A., pelos motivos expostos na inicial.</w:t>
      </w:r>
    </w:p>
    <w:p>
      <w:pPr>
        <w:spacing w:before="0" w:after="0" w:line="360" w:lineRule="auto"/>
        <w:ind w:firstLine="709" w:left="0"/>
        <w:jc w:val="both"/>
      </w:pPr>
      <w:r>
        <w:rPr>
          <w:rFonts w:ascii="Times New Roman" w:hAnsi="Times New Roman"/>
          <w:b w:val="0"/>
          <w:color w:val="000000"/>
          <w:sz w:val="24"/>
        </w:rPr>
        <w:t xml:space="preserve">A parte autora alega na inicial (Id. 89380862), em resumo, que é idosa e sofreu em seu benefício descontos do empréstimo consignado nº 148311597, que não contratou (Id. 89380865), no valor de R$ 60,68 por parcela.</w:t>
      </w:r>
    </w:p>
    <w:p>
      <w:pPr>
        <w:spacing w:before="0" w:after="0" w:line="360" w:lineRule="auto"/>
        <w:ind w:firstLine="709" w:left="0"/>
        <w:jc w:val="both"/>
      </w:pPr>
      <w:r>
        <w:rPr>
          <w:rFonts w:ascii="Times New Roman" w:hAnsi="Times New Roman"/>
          <w:b w:val="0"/>
          <w:color w:val="000000"/>
          <w:sz w:val="24"/>
        </w:rPr>
        <w:t xml:space="preserve">Por isso, requer a declaração de inexistência do contrato, a restituição em dobro dos valores descontados e indenização por danos morais de R$ 10.000,00.</w:t>
      </w:r>
    </w:p>
    <w:p>
      <w:pPr>
        <w:spacing w:before="0" w:after="0" w:line="360" w:lineRule="auto"/>
        <w:ind w:firstLine="709" w:left="0"/>
        <w:jc w:val="both"/>
      </w:pPr>
      <w:r>
        <w:rPr>
          <w:rFonts w:ascii="Times New Roman" w:hAnsi="Times New Roman"/>
          <w:b w:val="0"/>
          <w:color w:val="000000"/>
          <w:sz w:val="24"/>
        </w:rPr>
        <w:t xml:space="preserve">Citado, o demandado apresentou contestação (Id. 95351245) alegando, em síntese, que falta interesse de agir e, no mérito, que o contrato decorre da portabilidade de empréstimo que a autora mantinha no Banco Pan S.A., confirmada por assinatura eletrônica na agência (Id. 95350941), inexistindo dano moral.</w:t>
      </w:r>
    </w:p>
    <w:p>
      <w:pPr>
        <w:spacing w:before="0" w:after="0" w:line="360" w:lineRule="auto"/>
        <w:ind w:firstLine="709" w:left="0"/>
        <w:jc w:val="both"/>
      </w:pPr>
      <w:r>
        <w:rPr>
          <w:rFonts w:ascii="Times New Roman" w:hAnsi="Times New Roman"/>
          <w:b w:val="0"/>
          <w:color w:val="000000"/>
          <w:sz w:val="24"/>
        </w:rPr>
        <w:t xml:space="preserve">Em réplica (Id. 98324316), a parte autora alegou que o réu não apresentou o instrumento contratual nem comprovou o repasse de valores à sua conta.</w:t>
      </w:r>
    </w:p>
    <w:p>
      <w:pPr>
        <w:spacing w:before="0" w:after="0" w:line="360" w:lineRule="auto"/>
        <w:ind w:firstLine="709" w:left="0"/>
        <w:jc w:val="both"/>
      </w:pPr>
      <w:r>
        <w:rPr>
          <w:rFonts w:ascii="Times New Roman" w:hAnsi="Times New Roman"/>
          <w:b w:val="0"/>
          <w:color w:val="000000"/>
          <w:sz w:val="24"/>
        </w:rPr>
        <w:t xml:space="preserve">Vieram os autos conclusos.</w:t>
      </w:r>
    </w:p>
    <w:p>
      <w:pPr>
        <w:spacing w:before="0" w:after="0" w:line="360" w:lineRule="auto"/>
        <w:ind w:firstLine="709" w:left="0"/>
        <w:jc w:val="both"/>
      </w:pPr>
      <w:r>
        <w:rPr>
          <w:rFonts w:ascii="Times New Roman" w:hAnsi="Times New Roman"/>
          <w:b w:val="0"/>
          <w:color w:val="000000"/>
          <w:sz w:val="24"/>
        </w:rPr>
        <w:t xml:space="preserve">É o relatório. Fundamento e decido.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 - FUNDAMENTO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Julgamento do processo no estado em que se encontra.</w:t>
      </w:r>
    </w:p>
    <w:p>
      <w:pPr>
        <w:spacing w:before="0" w:after="0" w:line="360" w:lineRule="auto"/>
        <w:ind w:firstLine="709" w:left="0"/>
        <w:jc w:val="both"/>
      </w:pPr>
      <w:r>
        <w:rPr>
          <w:rFonts w:ascii="Times New Roman" w:hAnsi="Times New Roman"/>
          <w:b w:val="0"/>
          <w:color w:val="000000"/>
          <w:sz w:val="24"/>
        </w:rPr>
        <w:t xml:space="preserve">Da análise dos autos, oportuno o julgamento do processo no estado em que se encontra, sendo desnecessária maior dilação probatória, eis que o acervo probatório é suficiente para o deslinde do feito, nos termos do art. 355, I do CPC.</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Prescrição</w:t>
      </w:r>
    </w:p>
    <w:p>
      <w:pPr>
        <w:spacing w:before="0" w:after="0" w:line="360" w:lineRule="auto"/>
        <w:ind w:firstLine="709" w:left="0"/>
        <w:jc w:val="both"/>
      </w:pPr>
      <w:r>
        <w:rPr>
          <w:rFonts w:ascii="Times New Roman" w:hAnsi="Times New Roman"/>
          <w:b w:val="0"/>
          <w:color w:val="000000"/>
          <w:sz w:val="24"/>
        </w:rPr>
        <w:t xml:space="preserve">De início, considerando que se aplica ao caso o prazo prescricional de 05 (cinco) anos previsto no art. 27 do CDC, pois se trata de relação de consumo, não reconheço a ocorrência de prescrição da pretensão da parte autora. Devem ser consideradas prescritas todas as parcelas descontadas há mais de 05 (cinco) anos do ajuizamento da demanda.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Descontos</w:t>
      </w:r>
    </w:p>
    <w:p>
      <w:pPr>
        <w:spacing w:before="0" w:after="0" w:line="360" w:lineRule="auto"/>
        <w:ind w:firstLine="709" w:left="0"/>
        <w:jc w:val="both"/>
      </w:pPr>
      <w:r>
        <w:rPr>
          <w:rFonts w:ascii="Times New Roman" w:hAnsi="Times New Roman"/>
          <w:b w:val="0"/>
          <w:color w:val="000000"/>
          <w:sz w:val="24"/>
        </w:rPr>
        <w:t xml:space="preserve">Em síntese, afirma a parte autora que a parte demandada descontou valores de parcelas de suposto empréstimo consignado (contrato nº 148311597) que nunca foi objeto de negócio entre as partes, pelo que pede a declaração da inexistência da relação jurídica contratual, a restituição em dobro dos valores descontados indevidamente e indenização pelos danos morais.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Natureza da relação jurídica</w:t>
      </w:r>
    </w:p>
    <w:p>
      <w:pPr>
        <w:spacing w:before="0" w:after="0" w:line="360" w:lineRule="auto"/>
        <w:ind w:firstLine="709" w:left="0"/>
        <w:jc w:val="both"/>
      </w:pPr>
      <w:r>
        <w:rPr>
          <w:rFonts w:ascii="Times New Roman" w:hAnsi="Times New Roman"/>
          <w:b w:val="0"/>
          <w:color w:val="000000"/>
          <w:sz w:val="24"/>
        </w:rPr>
        <w:t xml:space="preserve">As instituições financeiras e os bancos, como prestadores de serviço especialmente contemplados no artigo 3º, § 2º, da Lei n. 8.078/1990, estão “submetidos às disposições do Código de Defesa do Consumidor” (STJ, 3a Turma, AgREsp 219092, Rel. Min. Nancy Andrighi, unânime, j. 07.12.2000, DJ 05.02.2001). Este entendimento está pacificado e sumulado pelo STJ:</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STJ | Súmula 297</w:t>
      </w:r>
    </w:p>
    <w:p>
      <w:pPr>
        <w:spacing w:before="0" w:after="0" w:line="240" w:lineRule="auto"/>
        <w:ind w:firstLine="0" w:left="2268"/>
        <w:jc w:val="both"/>
      </w:pPr>
      <w:r>
        <w:rPr>
          <w:rFonts w:ascii="Times New Roman" w:hAnsi="Times New Roman"/>
          <w:b w:val="0"/>
          <w:color w:val="000000"/>
          <w:sz w:val="20"/>
        </w:rPr>
        <w:t xml:space="preserve">O Código de Defesa do Consumidor é aplicável às instituições financeiras.</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 caso em tela, as relações entre a parte autora e a parte demandada devem ser reguladas, portanto, pelo Código de Defesa do Consumidor.</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Ônus da prova neste caso concreto</w:t>
      </w:r>
    </w:p>
    <w:p>
      <w:pPr>
        <w:spacing w:before="0" w:after="0" w:line="360" w:lineRule="auto"/>
        <w:ind w:firstLine="709" w:left="0"/>
        <w:jc w:val="both"/>
      </w:pPr>
      <w:r>
        <w:rPr>
          <w:rFonts w:ascii="Times New Roman" w:hAnsi="Times New Roman"/>
          <w:b w:val="0"/>
          <w:color w:val="000000"/>
          <w:sz w:val="24"/>
        </w:rPr>
        <w:t xml:space="preserve">Com efeito, em causas como a debatida, incumbe à parte demandada a prova da existência do legítimo contrato que justifique os descontos no valor do seu benefício previdenciário, mormente em face da inversão do ônus da prova imposta pela hipossuficiência da demandante (art. 6º, VIII, da Lei n. 8.078/90).</w:t>
      </w:r>
    </w:p>
    <w:p>
      <w:pPr>
        <w:spacing w:before="0" w:after="0" w:line="360" w:lineRule="auto"/>
        <w:ind w:firstLine="709" w:left="0"/>
        <w:jc w:val="both"/>
      </w:pPr>
      <w:r>
        <w:rPr>
          <w:rFonts w:ascii="Times New Roman" w:hAnsi="Times New Roman"/>
          <w:b w:val="0"/>
          <w:color w:val="000000"/>
          <w:sz w:val="24"/>
        </w:rPr>
        <w:t xml:space="preserve">Ademais, deve-se aplicar o princípio da carga dinâmica das provas para atribuir à parte demandada o ônus de demonstrar a existência dos fatos que lhe aproveitam. Ora, deixar ao consumidor o ônus de provar a inexistência de contrato é exigir que se prove fato negativo, somente possível através de elementos indiretos e de efetivação onerosa e complexa, portanto, inviável. Lado outro, à demandada seria por demais simples a prova da legítima contratação com a demandante, bastando apresentar o instrumento do contrato e documentos correlatos.</w:t>
      </w:r>
    </w:p>
    <w:p>
      <w:pPr>
        <w:spacing w:before="0" w:after="0" w:line="360" w:lineRule="auto"/>
        <w:ind w:firstLine="709" w:left="0"/>
        <w:jc w:val="both"/>
      </w:pPr>
      <w:r>
        <w:rPr>
          <w:rFonts w:ascii="Times New Roman" w:hAnsi="Times New Roman"/>
          <w:b w:val="0"/>
          <w:color w:val="000000"/>
          <w:sz w:val="24"/>
        </w:rPr>
        <w:t xml:space="preserve">Nessa ótica, considerado invertido o ônus probandi, deveria o demandado juntar aos autos virtuais o instrumento do contrato que alega legítimo, com a manifestação de vontade da contratante, e, por se tratar de portabilidade de crédito, o registro da operação e da quitação do contrato originário perante a instituição credora original.</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 perfectibilização do negócio jurídico</w:t>
      </w:r>
    </w:p>
    <w:p>
      <w:pPr>
        <w:spacing w:before="0" w:after="0" w:line="360" w:lineRule="auto"/>
        <w:ind w:firstLine="709" w:left="0"/>
        <w:jc w:val="both"/>
      </w:pPr>
      <w:r>
        <w:rPr>
          <w:rFonts w:ascii="Times New Roman" w:hAnsi="Times New Roman"/>
          <w:b w:val="0"/>
          <w:color w:val="000000"/>
          <w:sz w:val="24"/>
        </w:rPr>
        <w:t xml:space="preserve">A parte demandada apresentou nos autos os elementos que comprovam a contratação: contratação via autenticador eletrônico – solicitação (Id. 95350942) e confirmação (Id. 95350941) da portabilidade, para o réu, do contrato de empréstimo consignado nº 357255884-3 do Banco Pan S.A., ambas assinadas eletronicamente pela cliente via SISBB, com senha pessoal informada na agência 3631 – Itaueira-PI (histórico reproduzido na contestação, Id. 95351245), em 03/01/2024, às 14h09min49s, e em 10/01/2024, às 10h57min48s – número do contrato 148311597 – valor do contrato de R$ 2.296,74, correspondente ao saldo devedor portado, em 66 parcelas de R$ 60,68, com a advertência expressa de que a parcela ficaria menor em R$ 4,82 que a do contrato original, de R$ 65,50.</w:t>
      </w:r>
    </w:p>
    <w:p>
      <w:pPr>
        <w:spacing w:before="0" w:after="0" w:line="360" w:lineRule="auto"/>
        <w:ind w:firstLine="709" w:left="0"/>
        <w:jc w:val="both"/>
      </w:pPr>
      <w:r>
        <w:rPr>
          <w:rFonts w:ascii="Times New Roman" w:hAnsi="Times New Roman"/>
          <w:b w:val="0"/>
          <w:color w:val="000000"/>
          <w:sz w:val="24"/>
        </w:rPr>
        <w:t xml:space="preserve">Sendo assim, mister é a aplicação do princípio pacta sunt servanda, assim conceituado por Flávio Tartuce:</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Decorrente do princípio da autonomia privada, a força obrigatória dos contratos prevê que tem força de lei o estipulado pelas partes na avença, constrangendo os contratantes ao cumprimento do conteúdo completo do negócio jurídico. Esse princípio importa em autêntica restrição da liberdade, que se tornou limitada para aqueles que contrataram a partir do momento em que vieram a formar o contrato consensualmente e dotados de vontade autônoma. (TARTUCE, Flávio. Direito Civil - Vol.3 - 21ª Edição 2026. 21. ed. Rio de Janeiro: Forense, 2026. E-book. p. 104)</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Portanto, o negócio jurídico encontra-se perfectibilizado, na medida em que possui agentes capazes, objeto lícito determinado e forma não defesa em lei.</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Dos comprovantes de operação bancária</w:t>
      </w:r>
    </w:p>
    <w:p>
      <w:pPr>
        <w:spacing w:before="0" w:after="0" w:line="360" w:lineRule="auto"/>
        <w:ind w:firstLine="709" w:left="0"/>
        <w:jc w:val="both"/>
      </w:pPr>
      <w:r>
        <w:rPr>
          <w:rFonts w:ascii="Times New Roman" w:hAnsi="Times New Roman"/>
          <w:b w:val="0"/>
          <w:color w:val="000000"/>
          <w:sz w:val="24"/>
        </w:rPr>
        <w:t xml:space="preserve">Contém nos autos o registro da operação de portabilidade no histórico de empréstimos consignados emitido pelo INSS e juntado pela própria parte autora (Id. 89380865), no demonstrativo de origem e evolução da dívida (Id. 95350924) e na consulta de portabilidade de crédito reproduzida na contestação (Id. 95351245), que demonstram que a contraprestação foi devidamente descontada. Os dados estão descritos como: nome da parte autora; contrato nº 148311597, na linha BB Crédito Consignado Portabilidade, incluído em 11/01/2024 com origem “averbação por portabilidade”; contrato nº 357255884-3 do Banco Pan S.A., de parcela de R$ 65,50, excluído em 11/01/2024 com o motivo “exclusão por portabilidade”; portabilidade confirmada em 10/01/2024, com destino do recurso à instituição 623 – Banco Pan S.A., agência 1, conta 5900060 e os valores descritos são: saldo devedor portado de R$ 2.296,74, liberado integralmente para a quitação do contrato originário, e parcelas de R$ 60,68, das quais cinco foram pagas entre 05/03/2024 e 05/07/2024, até a renovação do contrato em 24/07/2024 (Id. 95351243), o que se coaduna com o que fora alegado.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 escolaridade da parte autora</w:t>
      </w:r>
    </w:p>
    <w:p>
      <w:pPr>
        <w:spacing w:before="0" w:after="0" w:line="360" w:lineRule="auto"/>
        <w:ind w:firstLine="709" w:left="0"/>
        <w:jc w:val="both"/>
      </w:pPr>
      <w:r>
        <w:rPr>
          <w:rFonts w:ascii="Times New Roman" w:hAnsi="Times New Roman"/>
          <w:b w:val="0"/>
          <w:color w:val="000000"/>
          <w:sz w:val="24"/>
        </w:rPr>
        <w:t xml:space="preserve">Não há nos autos perícia ou documento que demonstre o grau de instrução ou letramento da parte autora, ônus que incumbia à parte autora (art. 373, I, do Código de Processo Civil). Ora, a inversão do art. 6º, VIII, do Código de Defesa do Consumidor recai apenas sobre a existência do contrato, fato do fornecedor, e não sobre a condição pessoal de quem a alega. Ao revés, os elementos dos autos apontam em sentido contrário, na medida em que o demandante confirmou pessoalmente, mediante senha pessoal, a solicitação e a confirmação da portabilidade (Ids. 95350941 e 95350942) e, depois, contratou por meio do aplicativo móvel a renovação que liquidou o contrato questionado (Id. 95351243). O precedente do TJPI a seguir adere a esta tese:</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EMENTA: PROCESSUAL CIVIL. AÇÃO DECLARATÓRIA DE NULIDADE DE RELAÇÃO JURÍDICA C/C EXIBIÇÃO DE DOCUMENTO C/C REPETIÇÃO DO INDÉBITO C/C PEDIDO DE INDENIZAÇÃO POR DANOS MORAIS. EMPRÉSTIMO CONSIGNADO. ANALFABETISMO FUNCIONAL. NÃO COMPROVADO. CONTRATO ASSINADO. FATOS CONSTITUTIVOS. ÔNUS DA PROVA. RECURSO CONHECIDO E DESPROVIDO.</w:t>
      </w:r>
    </w:p>
    <w:p>
      <w:pPr>
        <w:spacing w:before="0" w:after="0" w:line="240" w:lineRule="auto"/>
        <w:ind w:firstLine="0" w:left="2268"/>
        <w:jc w:val="both"/>
      </w:pPr>
      <w:r>
        <w:rPr>
          <w:rFonts w:ascii="Times New Roman" w:hAnsi="Times New Roman"/>
          <w:b w:val="0"/>
          <w:color w:val="000000"/>
          <w:sz w:val="20"/>
        </w:rPr>
        <w:t xml:space="preserve">I – O analfabetismo não caracteriza, por si só, vício de consentimento apto a ensejar a anulação do negócio jurídico, pois, mesmo sendo pessoa analfabeta pode ter capacidade de compreender os fatos e exprimir sua real vontade.</w:t>
      </w:r>
    </w:p>
    <w:p>
      <w:pPr>
        <w:spacing w:before="0" w:after="0" w:line="240" w:lineRule="auto"/>
        <w:ind w:firstLine="0" w:left="2268"/>
        <w:jc w:val="both"/>
      </w:pPr>
      <w:r>
        <w:rPr>
          <w:rFonts w:ascii="Times New Roman" w:hAnsi="Times New Roman"/>
          <w:b w:val="0"/>
          <w:color w:val="000000"/>
          <w:sz w:val="20"/>
        </w:rPr>
        <w:t xml:space="preserve">II – O ordenamento jurídico não veda a pessoa analfabeta de praticar atos da vida civil, como no caso de contratar um empréstimo consignado, tanto que nos arts. 3º e 4º, do CC, o analfabetismo não foi colocado como fator de incapacidade relativa, tampouco absoluta. Todavia, a validade do contrato entabulado com pessoa analfabeta, de fato, depende da observância de condições específicas, notadamente a formalização do negócio por meio de procurador a rogo e por duas testemunhas, como entabulado no art. 595, do CC.</w:t>
      </w:r>
    </w:p>
    <w:p>
      <w:pPr>
        <w:spacing w:before="0" w:after="0" w:line="240" w:lineRule="auto"/>
        <w:ind w:firstLine="0" w:left="2268"/>
        <w:jc w:val="both"/>
      </w:pPr>
      <w:r>
        <w:rPr>
          <w:rFonts w:ascii="Times New Roman" w:hAnsi="Times New Roman"/>
          <w:b w:val="0"/>
          <w:color w:val="000000"/>
          <w:sz w:val="20"/>
        </w:rPr>
        <w:t xml:space="preserve">III – No caso, o Banco/Apelado acostou aos autos o contrato, objeto da demanda, no qual se verifica que a manifestação de vontade da Apelante foi realizada por meio de sua assinatura de próprio punho (id. 4408042 – pág. 01/10).</w:t>
      </w:r>
    </w:p>
    <w:p>
      <w:pPr>
        <w:spacing w:before="0" w:after="0" w:line="240" w:lineRule="auto"/>
        <w:ind w:firstLine="0" w:left="2268"/>
        <w:jc w:val="both"/>
      </w:pPr>
      <w:r>
        <w:rPr>
          <w:rFonts w:ascii="Times New Roman" w:hAnsi="Times New Roman"/>
          <w:b w:val="0"/>
          <w:color w:val="000000"/>
          <w:sz w:val="20"/>
        </w:rPr>
        <w:t xml:space="preserve">IV – Compulsando-se os autos, observa-se que os documentos pessoais da Apelante não informam a sua condição de analfabeta, diversamente, consta a assinatura uníssona com as demais constantes em procuração (id. nº 4408035 – pág.</w:t>
      </w:r>
    </w:p>
    <w:p>
      <w:pPr>
        <w:spacing w:before="0" w:after="0" w:line="240" w:lineRule="auto"/>
        <w:ind w:firstLine="0" w:left="2268"/>
        <w:jc w:val="both"/>
      </w:pPr>
      <w:r>
        <w:rPr>
          <w:rFonts w:ascii="Times New Roman" w:hAnsi="Times New Roman"/>
          <w:b w:val="0"/>
          <w:color w:val="000000"/>
          <w:sz w:val="20"/>
        </w:rPr>
        <w:t xml:space="preserve">01) e declaração de residência (id. nº 4408042 – pág. 08), não indicando fraude. Não há nos autos comprovação da condição de analfabetismo da Apelante nos seus documentos pessoais ou qualquer prova de que ela sabe apenas desenhar o seu nome.</w:t>
      </w:r>
    </w:p>
    <w:p>
      <w:pPr>
        <w:spacing w:before="0" w:after="0" w:line="240" w:lineRule="auto"/>
        <w:ind w:firstLine="0" w:left="2268"/>
        <w:jc w:val="both"/>
      </w:pPr>
      <w:r>
        <w:rPr>
          <w:rFonts w:ascii="Times New Roman" w:hAnsi="Times New Roman"/>
          <w:b w:val="0"/>
          <w:color w:val="000000"/>
          <w:sz w:val="20"/>
        </w:rPr>
        <w:t xml:space="preserve">V – Tratando-se de fatos constitutivos, caberia a Apelante fazer prova induvidosa da sua condição de analfabeta, como preceitua o art. 373, I, do CPC, porém, não se desincumbiu do seu ônus probatório.</w:t>
      </w:r>
    </w:p>
    <w:p>
      <w:pPr>
        <w:spacing w:before="0" w:after="0" w:line="240" w:lineRule="auto"/>
        <w:ind w:firstLine="0" w:left="2268"/>
        <w:jc w:val="both"/>
      </w:pPr>
      <w:r>
        <w:rPr>
          <w:rFonts w:ascii="Times New Roman" w:hAnsi="Times New Roman"/>
          <w:b w:val="0"/>
          <w:color w:val="000000"/>
          <w:sz w:val="20"/>
        </w:rPr>
        <w:t xml:space="preserve">VI – A simples alegação de analfabetismo não basta para fundamentar eventual provimento judicial – allegatio et non probatio quase non allegatio</w:t>
      </w:r>
    </w:p>
    <w:p>
      <w:pPr>
        <w:spacing w:before="0" w:after="0" w:line="240" w:lineRule="auto"/>
        <w:ind w:firstLine="0" w:left="2268"/>
        <w:jc w:val="both"/>
      </w:pPr>
      <w:r>
        <w:rPr>
          <w:rFonts w:ascii="Times New Roman" w:hAnsi="Times New Roman"/>
          <w:b w:val="0"/>
          <w:color w:val="000000"/>
          <w:sz w:val="20"/>
        </w:rPr>
        <w:t xml:space="preserve">VII – Recurso conhecido e desprovido.</w:t>
      </w:r>
    </w:p>
    <w:p>
      <w:pPr>
        <w:spacing w:before="0" w:after="0" w:line="240" w:lineRule="auto"/>
        <w:ind w:firstLine="0" w:left="2268"/>
        <w:jc w:val="both"/>
      </w:pPr>
      <w:r>
        <w:rPr>
          <w:rFonts w:ascii="Times New Roman" w:hAnsi="Times New Roman"/>
          <w:b w:val="0"/>
          <w:color w:val="000000"/>
          <w:sz w:val="20"/>
        </w:rPr>
        <w:t xml:space="preserve">(TJPI - APELAÇÃO CÍVEL 0801981-77.2020.8.18.0026 - Relator: RAIMUNDO EUFRASIO ALVES FILHO - 1ª Câmara Especializada Cível - Data 03/04/2023)</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Portanto, em relação à esta questão levantada, não há defeito no negócio jurídico.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III - DISPOSITIVO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Pelo exposto, com fundamento no art. 487, I, do CPC, JULGO IMPROCEDENTES os pedidos deduzidos na inicial. Sem custas, face à gratuidade deferida. Fixo honorários em 10% (dez por cento) do valor da causa, cuja exigibilidade fica suspensa na forma do § 3º do art. 98 do CPC.</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Publique-se. Registre-se. Intimem-se.</w:t>
      </w:r>
    </w:p>
    <w:p>
      <w:pPr>
        <w:spacing w:before="0" w:after="0" w:line="360" w:lineRule="auto"/>
        <w:ind w:firstLine="709" w:left="0"/>
        <w:jc w:val="both"/>
      </w:pPr>
      <w:r>
        <w:rPr>
          <w:rFonts w:ascii="Times New Roman" w:hAnsi="Times New Roman"/>
          <w:b w:val="0"/>
          <w:color w:val="000000"/>
          <w:sz w:val="24"/>
        </w:rPr>
        <w:t xml:space="preserve">Com o trânsito em julgado, arquivem-se os autos com a devida baixa.</w:t>
      </w:r>
    </w:p>
    <w:p>
      <w:pPr>
        <w:spacing w:before="0" w:after="0" w:line="360" w:lineRule="auto"/>
        <w:ind w:firstLine="709" w:left="0"/>
        <w:jc w:val="both"/>
      </w:pPr>
      <w:r>
        <w:rPr>
          <w:rFonts w:ascii="Times New Roman" w:hAnsi="Times New Roman"/>
          <w:b w:val="0"/>
          <w:color w:val="000000"/>
          <w:sz w:val="24"/>
        </w:rPr>
        <w:t xml:space="preserve">Havendo apelação, intime-se a parte contrária para contrarrazões em 15 (quinze) dias e, após, remetam-se os autos ao e. Tribunal de Justiça.</w:t>
      </w:r>
    </w:p>
    <w:p>
      <w:pPr>
        <w:spacing w:before="0" w:after="0" w:line="360" w:lineRule="auto"/>
        <w:ind w:firstLine="0" w:left="0"/>
        <w:jc w:val="left"/>
      </w:pPr>
    </w:p>
    <w:p>
      <w:pPr>
        <w:spacing w:before="0" w:after="0" w:line="360" w:lineRule="auto"/>
        <w:ind w:firstLine="0" w:left="0"/>
        <w:jc w:val="center"/>
      </w:pPr>
      <w:r>
        <w:rPr>
          <w:rFonts w:ascii="Times New Roman" w:hAnsi="Times New Roman"/>
          <w:b w:val="0"/>
          <w:color w:val="000000"/>
          <w:sz w:val="24"/>
        </w:rPr>
        <w:t xml:space="preserve">ITAUEIRA-PI, [[[CONFERIR NOS AUTOS]]].</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MÁRIO SOARES DE ALENCAR</w:t>
      </w:r>
    </w:p>
    <w:p>
      <w:pPr>
        <w:spacing w:before="0" w:after="0" w:line="360" w:lineRule="auto"/>
        <w:ind w:firstLine="0" w:left="0"/>
        <w:jc w:val="center"/>
      </w:pPr>
      <w:r>
        <w:rPr>
          <w:rFonts w:ascii="Times New Roman" w:hAnsi="Times New Roman"/>
          <w:b w:val="0"/>
          <w:color w:val="000000"/>
          <w:sz w:val="24"/>
        </w:rPr>
        <w:t xml:space="preserve">Juiz de Direito da Vara Única da Comarca de Itaueira</w:t>
      </w:r>
    </w:p>
    <w:sectPr w:rsidR="00501E67" w:rsidRPr="00962DA5"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13251272">
    <w:abstractNumId w:val="8"/>
  </w:num>
  <w:num w:numId="2" w16cid:durableId="544026023">
    <w:abstractNumId w:val="6"/>
  </w:num>
  <w:num w:numId="3" w16cid:durableId="1827549059">
    <w:abstractNumId w:val="5"/>
  </w:num>
  <w:num w:numId="4" w16cid:durableId="1557549311">
    <w:abstractNumId w:val="4"/>
  </w:num>
  <w:num w:numId="5" w16cid:durableId="1736079893">
    <w:abstractNumId w:val="7"/>
  </w:num>
  <w:num w:numId="6" w16cid:durableId="1856797632">
    <w:abstractNumId w:val="3"/>
  </w:num>
  <w:num w:numId="7" w16cid:durableId="1191410845">
    <w:abstractNumId w:val="2"/>
  </w:num>
  <w:num w:numId="8" w16cid:durableId="1645045771">
    <w:abstractNumId w:val="1"/>
  </w:num>
  <w:num w:numId="9" w16cid:durableId="95448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807"/>
    <w:rsid w:val="000E13A7"/>
    <w:rsid w:val="0015074B"/>
    <w:rsid w:val="00177019"/>
    <w:rsid w:val="001C5E1C"/>
    <w:rsid w:val="00222D07"/>
    <w:rsid w:val="0029639D"/>
    <w:rsid w:val="002C5F69"/>
    <w:rsid w:val="00326F90"/>
    <w:rsid w:val="00357D41"/>
    <w:rsid w:val="00366D3B"/>
    <w:rsid w:val="0038504E"/>
    <w:rsid w:val="004128E3"/>
    <w:rsid w:val="004F5898"/>
    <w:rsid w:val="00501E67"/>
    <w:rsid w:val="005936A3"/>
    <w:rsid w:val="007B3895"/>
    <w:rsid w:val="0088262D"/>
    <w:rsid w:val="00962DA5"/>
    <w:rsid w:val="009E5681"/>
    <w:rsid w:val="00A64828"/>
    <w:rsid w:val="00AA1D8D"/>
    <w:rsid w:val="00B47730"/>
    <w:rsid w:val="00CB0664"/>
    <w:rsid w:val="00D4121B"/>
    <w:rsid w:val="00DD28B7"/>
    <w:rsid w:val="00EF6624"/>
    <w:rsid w:val="00F26EB3"/>
    <w:rsid w:val="00F84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5D5482-E9AA-426E-8095-E6FD7F056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807"/>
    <w:pPr>
      <w:spacing w:after="0"/>
    </w:pPr>
    <w:rPr>
      <w:rFonts w:ascii="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5930</Words>
  <Characters>32028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Óstenes Fernandes da Silva</cp:lastModifiedBy>
  <cp:revision>18</cp:revision>
  <dcterms:created xsi:type="dcterms:W3CDTF">2013-12-23T23:15:00Z</dcterms:created>
  <dcterms:modified xsi:type="dcterms:W3CDTF">2026-09-30T15:09:00Z</dcterms:modified>
  <cp:category/>
</cp:coreProperties>
</file>