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indenização proposta por JOSE AURINO DA SILVA,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86986476), em resumo, que sofreu, sendo idoso e analfabeto, descontos não contratados da “CESTA B.EXPRESSO5” (ação apensa nº 0803321-87.2025.8.18.0056, Id. 93455538) e do “PACOTE DE SERVIÇOS PADRONIZADO PRIORITÁRIOS I” (extratos de Ids. 86986486 a 86987094), no valor de R$ 15,67 e R$ 0,69 por lançamento deste último.</w:t>
      </w:r>
    </w:p>
    <w:p>
      <w:pPr>
        <w:spacing w:before="0" w:after="0" w:line="360" w:lineRule="auto"/>
        <w:ind w:firstLine="709" w:left="0"/>
        <w:jc w:val="both"/>
      </w:pPr>
      <w:r>
        <w:rPr>
          <w:rFonts w:ascii="Times New Roman" w:hAnsi="Times New Roman"/>
          <w:b w:val="0"/>
          <w:color w:val="000000"/>
          <w:sz w:val="24"/>
        </w:rPr>
        <w:t xml:space="preserve">Por isso, requer a restituição em dobro dos valores descontados e indenização por danos morais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95229261) alegando, em síntese, que falta interesse de agir e houve prescrição trienal e, no mérito, que o autor aderiu às cestas por termos de 03/05/2019 (Id. 95217223) e de 05/09/2023 (Id. 95217224).</w:t>
      </w:r>
    </w:p>
    <w:p>
      <w:pPr>
        <w:spacing w:before="0" w:after="0" w:line="360" w:lineRule="auto"/>
        <w:ind w:firstLine="709" w:left="0"/>
        <w:jc w:val="both"/>
      </w:pPr>
      <w:r>
        <w:rPr>
          <w:rFonts w:ascii="Times New Roman" w:hAnsi="Times New Roman"/>
          <w:b w:val="0"/>
          <w:color w:val="000000"/>
          <w:sz w:val="24"/>
        </w:rPr>
        <w:t xml:space="preserve">Em réplica (Id. 97243129), a parte autora alegou que o réu é revel no apenso e que não há prova idônea da contratação eletrônica.</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supostas tarifas de cesta de serviços “PACOTE DE SERVIÇOS PADRONIZADO PRIORITÁRIOS I” e “CESTA B.EXPRESSO5” que nunca foram objeto de negócio entre as partes, pelo que pede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descontos das tarifas de cesta de serviços na conta em que a parte autora recebe seu benefício previdenciário,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notadamente o termo de adesão à cesta de serviços, e os documentos pessoais do demandante.</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perfectibilização do negócio jurídico</w:t>
      </w:r>
    </w:p>
    <w:p>
      <w:pPr>
        <w:spacing w:before="0" w:after="0" w:line="360" w:lineRule="auto"/>
        <w:ind w:firstLine="709" w:left="0"/>
        <w:jc w:val="both"/>
      </w:pPr>
      <w:r>
        <w:rPr>
          <w:rFonts w:ascii="Times New Roman" w:hAnsi="Times New Roman"/>
          <w:b w:val="0"/>
          <w:color w:val="000000"/>
          <w:sz w:val="24"/>
        </w:rPr>
        <w:t xml:space="preserve">A parte demandada apresentou nos autos os elementos que comprovam a contratação: contrato com assinatura – Ficha-Proposta de Abertura de Conta de Depósito (agência 5794, conta 6639-7) e Termo de Opção à Cesta de Serviços Bradesco Expresso, com opção pela “Cesta Bradesco Expresso 5” (mensalidade de R$ 25,20 na data da opção) e autorização de débito da tarifa em conta-corrente, ambos assinados de próprio punho pelo autor em 03/05/2019, em Flores do Piauí-PI, acompanhados de cópia de seu documento de identidade (Id. 95217223); e contratação via assinatura eletrônica – Termo de Opção à Cesta de Serviços nº 0252214080, de adesão ao “Pacote Padronizado I” (mensalidade de R$ 15,45 na data da adesão), com autorização de débito em conta-corrente, assinado eletronicamente pelo autor em 05/09/2023, em Canto do Buriti-PI, com código de autenticação (hash) (Id. 95217224).</w:t>
      </w:r>
    </w:p>
    <w:p>
      <w:pPr>
        <w:spacing w:before="0" w:after="0" w:line="360" w:lineRule="auto"/>
        <w:ind w:firstLine="709" w:left="0"/>
        <w:jc w:val="both"/>
      </w:pPr>
      <w:r>
        <w:rPr>
          <w:rFonts w:ascii="Times New Roman" w:hAnsi="Times New Roman"/>
          <w:b w:val="0"/>
          <w:color w:val="000000"/>
          <w:sz w:val="24"/>
        </w:rPr>
        <w:t xml:space="preserve">Sendo assim, mister é a aplicação do princípio pacta sunt servanda, assim conceituado por Flávio Tartuce: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Decorrente do princípio da autonomia privada, a força obrigatória dos contratos prevê que tem força de lei o estipulado pelas partes na avença, constrangendo os contratantes ao cumprimento do conteúdo completo do negócio jurídico. Esse princípio importa em autêntica restrição da liberdade, que se tornou limitada para aqueles que contrataram a partir do momento em que vieram a formar o contrato consensualmente e dotados de vontade autônoma. (TARTUCE, Flávio. Direito Civil - Vol.3 - 21ª Edição 2026. 21. ed. Rio de Janeiro: Forense, 2026. E-book. p. 104)</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Portanto, o negócio jurídico encontra-se perfectibilizado, na medida em que possui agentes capazes, objeto lícito determinado e forma não defesa em lei.</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escolaridade da parte autora</w:t>
      </w:r>
    </w:p>
    <w:p>
      <w:pPr>
        <w:spacing w:before="0" w:after="0" w:line="360" w:lineRule="auto"/>
        <w:ind w:firstLine="709" w:left="0"/>
        <w:jc w:val="both"/>
      </w:pPr>
      <w:r>
        <w:rPr>
          <w:rFonts w:ascii="Times New Roman" w:hAnsi="Times New Roman"/>
          <w:b w:val="0"/>
          <w:color w:val="000000"/>
          <w:sz w:val="24"/>
        </w:rPr>
        <w:t xml:space="preserve">Não há nos autos perícia ou documento que demonstre o grau de instrução ou letramento da parte autora, ônus que incumbia à parte autora (art. 373, I, do Código de Processo Civil). Ora, a inversão do art. 6º, VIII, do Código de Defesa do Consumidor recai apenas sobre a existência do contrato, fato do fornecedor, e não sobre a condição pessoal de quem a alega. Ao revés, os elementos dos autos apontam em sentido contrário, na medida em que o demandante lançou assinatura de próprio punho na ficha-proposta de abertura de conta, que registra escolaridade “Ensino Fundamental” incompleto, no termo de opção à cesta de serviços e em seu documento de identidade expedido em 28/02/2019, cuja cópia instruiu a abertura da conta (Id. 95217223). O precedente do TJPI a seguir adere a esta tese: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EMENTA: PROCESSUAL CIVIL. AÇÃO DECLARATÓRIA DE NULIDADE DE RELAÇÃO JURÍDICA C/C EXIBIÇÃO DE DOCUMENTO C/C REPETIÇÃO DO INDÉBITO C/C PEDIDO DE INDENIZAÇÃO POR DANOS MORAIS. EMPRÉSTIMO CONSIGNADO. ANALFABETISMO FUNCIONAL. NÃO COMPROVADO. CONTRATO ASSINADO. FATOS CONSTITUTIVOS. ÔNUS DA PROVA. RECURSO CONHECIDO E DESPROVIDO.</w:t>
      </w:r>
    </w:p>
    <w:p>
      <w:pPr>
        <w:spacing w:before="0" w:after="0" w:line="240" w:lineRule="auto"/>
        <w:ind w:firstLine="0" w:left="2268"/>
        <w:jc w:val="both"/>
      </w:pPr>
      <w:r>
        <w:rPr>
          <w:rFonts w:ascii="Times New Roman" w:hAnsi="Times New Roman"/>
          <w:b w:val="0"/>
          <w:color w:val="000000"/>
          <w:sz w:val="20"/>
        </w:rPr>
        <w:t xml:space="preserve">I – O analfabetismo não caracteriza, por si só, vício de consentimento apto a ensejar a anulação do negócio jurídico, pois, mesmo sendo pessoa analfabeta pode ter capacidade de compreender os fatos e exprimir sua real vontade.</w:t>
      </w:r>
    </w:p>
    <w:p>
      <w:pPr>
        <w:spacing w:before="0" w:after="0" w:line="240" w:lineRule="auto"/>
        <w:ind w:firstLine="0" w:left="2268"/>
        <w:jc w:val="both"/>
      </w:pPr>
      <w:r>
        <w:rPr>
          <w:rFonts w:ascii="Times New Roman" w:hAnsi="Times New Roman"/>
          <w:b w:val="0"/>
          <w:color w:val="000000"/>
          <w:sz w:val="20"/>
        </w:rPr>
        <w:t xml:space="preserve">II – O ordenamento jurídico não veda a pessoa analfabeta de praticar atos da vida civil, como no caso de contratar um empréstimo consignado, tanto que nos arts. 3º e 4º, do CC, o analfabetismo não foi colocado como fator de incapacidade relativa, tampouco absoluta. Todavia, a validade do contrato entabulado com pessoa analfabeta, de fato, depende da observância de condições específicas, notadamente a formalização do negócio por meio de procurador a rogo e por duas testemunhas, como entabulado no art. 595, do CC.</w:t>
      </w:r>
    </w:p>
    <w:p>
      <w:pPr>
        <w:spacing w:before="0" w:after="0" w:line="240" w:lineRule="auto"/>
        <w:ind w:firstLine="0" w:left="2268"/>
        <w:jc w:val="both"/>
      </w:pPr>
      <w:r>
        <w:rPr>
          <w:rFonts w:ascii="Times New Roman" w:hAnsi="Times New Roman"/>
          <w:b w:val="0"/>
          <w:color w:val="000000"/>
          <w:sz w:val="20"/>
        </w:rPr>
        <w:t xml:space="preserve">III – No caso, o Banco/Apelado acostou aos autos o contrato, objeto da demanda, no qual se verifica que a manifestação de vontade da Apelante foi realizada por meio de sua assinatura de próprio punho (id. 4408042 – pág. 01/10).</w:t>
      </w:r>
    </w:p>
    <w:p>
      <w:pPr>
        <w:spacing w:before="0" w:after="0" w:line="240" w:lineRule="auto"/>
        <w:ind w:firstLine="0" w:left="2268"/>
        <w:jc w:val="both"/>
      </w:pPr>
      <w:r>
        <w:rPr>
          <w:rFonts w:ascii="Times New Roman" w:hAnsi="Times New Roman"/>
          <w:b w:val="0"/>
          <w:color w:val="000000"/>
          <w:sz w:val="20"/>
        </w:rPr>
        <w:t xml:space="preserve">IV – Compulsando-se os autos, observa-se que os documentos pessoais da Apelante não informam a sua condição de analfabeta, diversamente, consta a assinatura uníssona com as demais constantes em procuração (id. nº 4408035 – pág.</w:t>
      </w:r>
    </w:p>
    <w:p>
      <w:pPr>
        <w:spacing w:before="0" w:after="0" w:line="240" w:lineRule="auto"/>
        <w:ind w:firstLine="0" w:left="2268"/>
        <w:jc w:val="both"/>
      </w:pPr>
      <w:r>
        <w:rPr>
          <w:rFonts w:ascii="Times New Roman" w:hAnsi="Times New Roman"/>
          <w:b w:val="0"/>
          <w:color w:val="000000"/>
          <w:sz w:val="20"/>
        </w:rPr>
        <w:t xml:space="preserve">01) e declaração de residência (id. nº 4408042 – pág. 08), não indicando fraude. Não há nos autos comprovação da condição de analfabetismo da Apelante nos seus documentos pessoais ou qualquer prova de que ela sabe apenas desenhar o seu nome.</w:t>
      </w:r>
    </w:p>
    <w:p>
      <w:pPr>
        <w:spacing w:before="0" w:after="0" w:line="240" w:lineRule="auto"/>
        <w:ind w:firstLine="0" w:left="2268"/>
        <w:jc w:val="both"/>
      </w:pPr>
      <w:r>
        <w:rPr>
          <w:rFonts w:ascii="Times New Roman" w:hAnsi="Times New Roman"/>
          <w:b w:val="0"/>
          <w:color w:val="000000"/>
          <w:sz w:val="20"/>
        </w:rPr>
        <w:t xml:space="preserve">V – Tratando-se de fatos constitutivos, caberia a Apelante fazer prova induvidosa da sua condição de analfabeta, como preceitua o art. 373, I, do CPC, porém, não se desincumbiu do seu ônus probatório.</w:t>
      </w:r>
    </w:p>
    <w:p>
      <w:pPr>
        <w:spacing w:before="0" w:after="0" w:line="240" w:lineRule="auto"/>
        <w:ind w:firstLine="0" w:left="2268"/>
        <w:jc w:val="both"/>
      </w:pPr>
      <w:r>
        <w:rPr>
          <w:rFonts w:ascii="Times New Roman" w:hAnsi="Times New Roman"/>
          <w:b w:val="0"/>
          <w:color w:val="000000"/>
          <w:sz w:val="20"/>
        </w:rPr>
        <w:t xml:space="preserve">VI – A simples alegação de analfabetismo não basta para fundamentar eventual provimento judicial – allegatio et non probatio quase non allegatio</w:t>
      </w:r>
    </w:p>
    <w:p>
      <w:pPr>
        <w:spacing w:before="0" w:after="0" w:line="240" w:lineRule="auto"/>
        <w:ind w:firstLine="0" w:left="2268"/>
        <w:jc w:val="both"/>
      </w:pPr>
      <w:r>
        <w:rPr>
          <w:rFonts w:ascii="Times New Roman" w:hAnsi="Times New Roman"/>
          <w:b w:val="0"/>
          <w:color w:val="000000"/>
          <w:sz w:val="20"/>
        </w:rPr>
        <w:t xml:space="preserve">VII – Recurso conhecido e desprovido.</w:t>
      </w:r>
    </w:p>
    <w:p>
      <w:pPr>
        <w:spacing w:before="0" w:after="0" w:line="240" w:lineRule="auto"/>
        <w:ind w:firstLine="0" w:left="2268"/>
        <w:jc w:val="both"/>
      </w:pPr>
      <w:r>
        <w:rPr>
          <w:rFonts w:ascii="Times New Roman" w:hAnsi="Times New Roman"/>
          <w:b w:val="0"/>
          <w:color w:val="000000"/>
          <w:sz w:val="20"/>
        </w:rPr>
        <w:t xml:space="preserve">(TJPI - APELAÇÃO CÍVEL 0801981-77.2020.8.18.0026 - Relator: RAIMUNDO EUFRASIO ALVES FILHO - 1ª Câmara Especializada Cível - Data 03/04/2023)</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Portanto, em relação à esta questão levantada, não há defeito no negócio jurídico.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 art. 487, I, do CPC, JULGO IMPROCEDENTES os pedidos deduzidos na inicial. Sem custas, face à gratuidade deferida. Fixo honorários em 10% (dez por cento) do valor da causa, cuja exigibilidade fica suspensa na forma do § 3º do art. 98 do CPC.</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501E67" w:rsidRPr="00962DA5"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13251272">
    <w:abstractNumId w:val="8"/>
  </w:num>
  <w:num w:numId="2" w16cid:durableId="544026023">
    <w:abstractNumId w:val="6"/>
  </w:num>
  <w:num w:numId="3" w16cid:durableId="1827549059">
    <w:abstractNumId w:val="5"/>
  </w:num>
  <w:num w:numId="4" w16cid:durableId="1557549311">
    <w:abstractNumId w:val="4"/>
  </w:num>
  <w:num w:numId="5" w16cid:durableId="1736079893">
    <w:abstractNumId w:val="7"/>
  </w:num>
  <w:num w:numId="6" w16cid:durableId="1856797632">
    <w:abstractNumId w:val="3"/>
  </w:num>
  <w:num w:numId="7" w16cid:durableId="1191410845">
    <w:abstractNumId w:val="2"/>
  </w:num>
  <w:num w:numId="8" w16cid:durableId="1645045771">
    <w:abstractNumId w:val="1"/>
  </w:num>
  <w:num w:numId="9" w16cid:durableId="95448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07"/>
    <w:rsid w:val="000E13A7"/>
    <w:rsid w:val="0015074B"/>
    <w:rsid w:val="00177019"/>
    <w:rsid w:val="001C5E1C"/>
    <w:rsid w:val="00222D07"/>
    <w:rsid w:val="0029639D"/>
    <w:rsid w:val="002C5F69"/>
    <w:rsid w:val="00326F90"/>
    <w:rsid w:val="00357D41"/>
    <w:rsid w:val="00366D3B"/>
    <w:rsid w:val="0038504E"/>
    <w:rsid w:val="004128E3"/>
    <w:rsid w:val="004F5898"/>
    <w:rsid w:val="00501E67"/>
    <w:rsid w:val="005936A3"/>
    <w:rsid w:val="007B3895"/>
    <w:rsid w:val="0088262D"/>
    <w:rsid w:val="00962DA5"/>
    <w:rsid w:val="009E5681"/>
    <w:rsid w:val="00A64828"/>
    <w:rsid w:val="00AA1D8D"/>
    <w:rsid w:val="00B47730"/>
    <w:rsid w:val="00CB0664"/>
    <w:rsid w:val="00D4121B"/>
    <w:rsid w:val="00DD28B7"/>
    <w:rsid w:val="00EF6624"/>
    <w:rsid w:val="00F26EB3"/>
    <w:rsid w:val="00F84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5D5482-E9AA-426E-8095-E6FD7F05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807"/>
    <w:pPr>
      <w:spacing w:after="0"/>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5930</Words>
  <Characters>32028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Óstenes Fernandes da Silva</cp:lastModifiedBy>
  <cp:revision>18</cp:revision>
  <dcterms:created xsi:type="dcterms:W3CDTF">2013-12-23T23:15:00Z</dcterms:created>
  <dcterms:modified xsi:type="dcterms:W3CDTF">2026-09-30T15:09:00Z</dcterms:modified>
  <cp:category/>
</cp:coreProperties>
</file>