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EUDOCIA PEREIRA DE SOUSA,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86944909), em resumo, que, aposentada e idosa, sofre em sua conta descontos mensais da tarifa “CESTA B.EXPRESSO1”, que nunca contratou, no valor de R$ 29,00 a R$ 64,75 (extratos de Id. 86944915 a 86944929).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 e indenização por danos morais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97489032) alegando, em síntese, que falta interesse de agir, a inicial é inepta, a gratuidade deve ser revogada e há prescrição e decadência; no mérito, que a cesta foi contratada por termo de opção aceito no aplicativo e utilizada, sem má-fé ou dano moral, e formulou pedido contraposto.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97593068), a parte autora alegou que o réu não comprovou sua manifestação de vontade e sustentou vício de consentimento e venda casada.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descontos da tarifa de cesta de serviços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termo de adesão à cesta de serviços que alega legítimo, com a assinatura da parte autora ou o registro idôneo de sua manifestação de vontade.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R$ 3.060,15 (três mil e sessenta reais e quinze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da tarifa na conta em que a parte autora recebe seus proventos,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