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360" w:lineRule="auto"/>
        <w:ind w:firstLine="0" w:left="0"/>
        <w:jc w:val="center"/>
      </w:pPr>
      <w:r>
        <w:rPr>
          <w:rFonts w:ascii="Times New Roman" w:hAnsi="Times New Roman"/>
          <w:b/>
          <w:color w:val="000000"/>
          <w:sz w:val="24"/>
        </w:rPr>
        <w:t xml:space="preserve">I - RELATÓRIO</w:t>
      </w:r>
    </w:p>
    <w:p>
      <w:pPr>
        <w:spacing w:before="0" w:after="0" w:line="360" w:lineRule="auto"/>
        <w:ind w:firstLine="0" w:left="0"/>
        <w:jc w:val="left"/>
      </w:pPr>
    </w:p>
    <w:p>
      <w:pPr>
        <w:spacing w:before="0" w:after="0" w:line="360" w:lineRule="auto"/>
        <w:ind w:firstLine="709" w:left="0"/>
        <w:jc w:val="both"/>
      </w:pPr>
      <w:r>
        <w:rPr>
          <w:rFonts w:ascii="Times New Roman" w:hAnsi="Times New Roman"/>
          <w:b w:val="0"/>
          <w:color w:val="000000"/>
          <w:sz w:val="24"/>
        </w:rPr>
        <w:t xml:space="preserve">Trata-se de ação de indenização por danos materiais e morais proposta por PEDRO AVELINO DE SOUSA, em face de BANCO BRADESCO S.A., pelos motivos expostos na inicial.</w:t>
      </w:r>
    </w:p>
    <w:p>
      <w:pPr>
        <w:spacing w:before="0" w:after="0" w:line="360" w:lineRule="auto"/>
        <w:ind w:firstLine="709" w:left="0"/>
        <w:jc w:val="both"/>
      </w:pPr>
      <w:r>
        <w:rPr>
          <w:rFonts w:ascii="Times New Roman" w:hAnsi="Times New Roman"/>
          <w:b w:val="0"/>
          <w:color w:val="000000"/>
          <w:sz w:val="24"/>
        </w:rPr>
        <w:t xml:space="preserve">A parte autora alega na inicial (Id. 88135356), em resumo, que é aposentada, idosa e analfabeta e sofre, na conta em que recebe seu benefício previdenciário, débitos da tarifa “CESTA B.EXPRESSO” não contratada, no valor de R$ 1.672,55 (46 débitos, de 17/08/2022 a 14/11/2025, extratos de Ids. 88135363, 88135366, 88135370 e 88135371).</w:t>
      </w:r>
    </w:p>
    <w:p>
      <w:pPr>
        <w:spacing w:before="0" w:after="0" w:line="360" w:lineRule="auto"/>
        <w:ind w:firstLine="709" w:left="0"/>
        <w:jc w:val="both"/>
      </w:pPr>
      <w:r>
        <w:rPr>
          <w:rFonts w:ascii="Times New Roman" w:hAnsi="Times New Roman"/>
          <w:b w:val="0"/>
          <w:color w:val="000000"/>
          <w:sz w:val="24"/>
        </w:rPr>
        <w:t xml:space="preserve">Por isso, requer a restituição em dobro dos valores descontados e indenização por danos morais de R$ 10.000,00.</w:t>
      </w:r>
    </w:p>
    <w:p>
      <w:pPr>
        <w:spacing w:before="0" w:after="0" w:line="360" w:lineRule="auto"/>
        <w:ind w:firstLine="709" w:left="0"/>
        <w:jc w:val="both"/>
      </w:pPr>
      <w:r>
        <w:rPr>
          <w:rFonts w:ascii="Times New Roman" w:hAnsi="Times New Roman"/>
          <w:b w:val="0"/>
          <w:color w:val="000000"/>
          <w:sz w:val="24"/>
        </w:rPr>
        <w:t xml:space="preserve">Citado, o demandado apresentou contestação (Id. 97011687) alegando, em síntese, que a Cesta Bradesco Expresso foi contratada por Termo de Opção assinado eletronicamente em 15/07/2022 (Id. 97011691) e utilizada pelo autor, sem ato ilícito ou dano moral; arguiu preliminar e prejudiciais e formulou pedido contraposto.</w:t>
      </w:r>
    </w:p>
    <w:p>
      <w:pPr>
        <w:spacing w:before="0" w:after="0" w:line="360" w:lineRule="auto"/>
        <w:ind w:firstLine="709" w:left="0"/>
        <w:jc w:val="both"/>
      </w:pPr>
      <w:r>
        <w:rPr>
          <w:rFonts w:ascii="Times New Roman" w:hAnsi="Times New Roman"/>
          <w:b w:val="0"/>
          <w:color w:val="000000"/>
          <w:sz w:val="24"/>
        </w:rPr>
        <w:t xml:space="preserve">Em réplica (Id. 97018897), a parte autora alegou que a contratação eletrônica não comprova vontade válida, havendo vício de consentimento e venda casada.</w:t>
      </w:r>
    </w:p>
    <w:p>
      <w:pPr>
        <w:spacing w:before="0" w:after="0" w:line="360" w:lineRule="auto"/>
        <w:ind w:firstLine="709" w:left="0"/>
        <w:jc w:val="both"/>
      </w:pPr>
      <w:r>
        <w:rPr>
          <w:rFonts w:ascii="Times New Roman" w:hAnsi="Times New Roman"/>
          <w:b w:val="0"/>
          <w:color w:val="000000"/>
          <w:sz w:val="24"/>
        </w:rPr>
        <w:t xml:space="preserve">Vieram os autos conclusos.</w:t>
      </w:r>
    </w:p>
    <w:p>
      <w:pPr>
        <w:spacing w:before="0" w:after="0" w:line="360" w:lineRule="auto"/>
        <w:ind w:firstLine="709" w:left="0"/>
        <w:jc w:val="both"/>
      </w:pPr>
      <w:r>
        <w:rPr>
          <w:rFonts w:ascii="Times New Roman" w:hAnsi="Times New Roman"/>
          <w:b w:val="0"/>
          <w:color w:val="000000"/>
          <w:sz w:val="24"/>
        </w:rPr>
        <w:t xml:space="preserve">É o relatório. Fundamento e decido.</w:t>
      </w:r>
    </w:p>
    <w:p>
      <w:pPr>
        <w:spacing w:before="0" w:after="0" w:line="360" w:lineRule="auto"/>
        <w:ind w:firstLine="0" w:left="0"/>
        <w:jc w:val="left"/>
      </w:pPr>
    </w:p>
    <w:p>
      <w:pPr>
        <w:spacing w:before="0" w:after="0" w:line="360" w:lineRule="auto"/>
        <w:ind w:firstLine="0" w:left="0"/>
        <w:jc w:val="center"/>
      </w:pPr>
      <w:r>
        <w:rPr>
          <w:rFonts w:ascii="Times New Roman" w:hAnsi="Times New Roman"/>
          <w:b/>
          <w:color w:val="000000"/>
          <w:sz w:val="24"/>
        </w:rPr>
        <w:t xml:space="preserve">II - FUNDAMENTO</w:t>
      </w:r>
    </w:p>
    <w:p>
      <w:pPr>
        <w:spacing w:before="0" w:after="0" w:line="360" w:lineRule="auto"/>
        <w:ind w:firstLine="0" w:left="0"/>
        <w:jc w:val="left"/>
      </w:pPr>
    </w:p>
    <w:p>
      <w:pPr>
        <w:spacing w:before="0" w:after="0" w:line="360" w:lineRule="auto"/>
        <w:ind w:firstLine="0" w:left="0"/>
        <w:jc w:val="left"/>
      </w:pPr>
      <w:r>
        <w:rPr>
          <w:rFonts w:ascii="Times New Roman" w:hAnsi="Times New Roman"/>
          <w:b/>
          <w:color w:val="000000"/>
          <w:sz w:val="24"/>
        </w:rPr>
        <w:t xml:space="preserve">Julgamento do processo no estado em que se encontra.</w:t>
      </w:r>
    </w:p>
    <w:p>
      <w:pPr>
        <w:spacing w:before="0" w:after="0" w:line="360" w:lineRule="auto"/>
        <w:ind w:firstLine="709" w:left="0"/>
        <w:jc w:val="both"/>
      </w:pPr>
      <w:r>
        <w:rPr>
          <w:rFonts w:ascii="Times New Roman" w:hAnsi="Times New Roman"/>
          <w:b w:val="0"/>
          <w:color w:val="000000"/>
          <w:sz w:val="24"/>
        </w:rPr>
        <w:t xml:space="preserve">Da análise dos autos, oportuno o julgamento do processo no estado em que se encontra, sendo desnecessária maior dilação probatória, eis que o acervo probatório é suficiente para o deslinde do feito, nos termos do art. 355, I do CPC.</w:t>
      </w:r>
    </w:p>
    <w:p>
      <w:pPr>
        <w:spacing w:before="0" w:after="0" w:line="360" w:lineRule="auto"/>
        <w:ind w:firstLine="0" w:left="0"/>
        <w:jc w:val="left"/>
      </w:pPr>
    </w:p>
    <w:p>
      <w:pPr>
        <w:spacing w:before="0" w:after="0" w:line="360" w:lineRule="auto"/>
        <w:ind w:firstLine="0" w:left="0"/>
        <w:jc w:val="left"/>
      </w:pPr>
      <w:r>
        <w:rPr>
          <w:rFonts w:ascii="Times New Roman" w:hAnsi="Times New Roman"/>
          <w:b/>
          <w:color w:val="000000"/>
          <w:sz w:val="24"/>
        </w:rPr>
        <w:t xml:space="preserve">Prescrição</w:t>
      </w:r>
    </w:p>
    <w:p>
      <w:pPr>
        <w:spacing w:before="0" w:after="0" w:line="360" w:lineRule="auto"/>
        <w:ind w:firstLine="709" w:left="0"/>
        <w:jc w:val="both"/>
      </w:pPr>
      <w:r>
        <w:rPr>
          <w:rFonts w:ascii="Times New Roman" w:hAnsi="Times New Roman"/>
          <w:b w:val="0"/>
          <w:color w:val="000000"/>
          <w:sz w:val="24"/>
        </w:rPr>
        <w:t xml:space="preserve">De início, considerando que se aplica ao caso o prazo prescricional de 05 (cinco) anos previsto no art. 27 do CDC, pois se trata de relação de consumo, não reconheço a ocorrência de prescrição da pretensão da parte autora. Devem ser consideradas prescritas todas as parcelas descontadas há mais de 05 (cinco) anos do ajuizamento da demanda.</w:t>
      </w:r>
    </w:p>
    <w:p>
      <w:pPr>
        <w:spacing w:before="0" w:after="0" w:line="360" w:lineRule="auto"/>
        <w:ind w:firstLine="0" w:left="0"/>
        <w:jc w:val="left"/>
      </w:pPr>
    </w:p>
    <w:p>
      <w:pPr>
        <w:spacing w:before="0" w:after="0" w:line="360" w:lineRule="auto"/>
        <w:ind w:firstLine="0" w:left="0"/>
        <w:jc w:val="left"/>
      </w:pPr>
      <w:r>
        <w:rPr>
          <w:rFonts w:ascii="Times New Roman" w:hAnsi="Times New Roman"/>
          <w:b/>
          <w:color w:val="000000"/>
          <w:sz w:val="24"/>
        </w:rPr>
        <w:t xml:space="preserve">Descontos</w:t>
      </w:r>
    </w:p>
    <w:p>
      <w:pPr>
        <w:spacing w:before="0" w:after="0" w:line="360" w:lineRule="auto"/>
        <w:ind w:firstLine="709" w:left="0"/>
        <w:jc w:val="both"/>
      </w:pPr>
      <w:r>
        <w:rPr>
          <w:rFonts w:ascii="Times New Roman" w:hAnsi="Times New Roman"/>
          <w:b w:val="0"/>
          <w:color w:val="000000"/>
          <w:sz w:val="24"/>
        </w:rPr>
        <w:t xml:space="preserve">Em síntese, afirma a parte autora que a parte demandada descontou valores de suposta tarifa bancária “CESTA B.EXPRESSO” que nunca foi objeto de negócio entre as partes, pelo que pede a a restituição em dobro dos valores descontados indevidamente e indenização pelos danos morais.</w:t>
      </w:r>
    </w:p>
    <w:p>
      <w:pPr>
        <w:spacing w:before="0" w:after="0" w:line="360" w:lineRule="auto"/>
        <w:ind w:firstLine="0" w:left="0"/>
        <w:jc w:val="left"/>
      </w:pPr>
    </w:p>
    <w:p>
      <w:pPr>
        <w:spacing w:before="0" w:after="0" w:line="360" w:lineRule="auto"/>
        <w:ind w:firstLine="0" w:left="0"/>
        <w:jc w:val="left"/>
      </w:pPr>
      <w:r>
        <w:rPr>
          <w:rFonts w:ascii="Times New Roman" w:hAnsi="Times New Roman"/>
          <w:b/>
          <w:color w:val="000000"/>
          <w:sz w:val="24"/>
        </w:rPr>
        <w:t xml:space="preserve">Natureza da relação jurídica</w:t>
      </w:r>
    </w:p>
    <w:p>
      <w:pPr>
        <w:spacing w:before="0" w:after="0" w:line="360" w:lineRule="auto"/>
        <w:ind w:firstLine="709" w:left="0"/>
        <w:jc w:val="both"/>
      </w:pPr>
      <w:r>
        <w:rPr>
          <w:rFonts w:ascii="Times New Roman" w:hAnsi="Times New Roman"/>
          <w:b w:val="0"/>
          <w:color w:val="000000"/>
          <w:sz w:val="24"/>
        </w:rPr>
        <w:t xml:space="preserve">As instituições financeiras e os bancos, como prestadores de serviço especialmente contemplados no artigo 3º, § 2º, da Lei n. 8.078/1990, estão “submetidos às disposições do Código de Defesa do Consumidor” (STJ, 3a Turma, AgREsp 219092, Rel. Min. Nancy Andrighi, unânime, j. 07.12.2000, DJ 05.02.2001). Este entendimento está pacificado e sumulado pelo STJ:</w:t>
      </w:r>
    </w:p>
    <w:p>
      <w:pPr>
        <w:spacing w:before="0" w:after="0" w:line="360" w:lineRule="auto"/>
        <w:ind w:firstLine="0" w:left="0"/>
        <w:jc w:val="left"/>
      </w:pPr>
    </w:p>
    <w:p>
      <w:pPr>
        <w:spacing w:before="0" w:after="0" w:line="240" w:lineRule="auto"/>
        <w:ind w:firstLine="0" w:left="2268"/>
        <w:jc w:val="both"/>
      </w:pPr>
      <w:r>
        <w:rPr>
          <w:rFonts w:ascii="Times New Roman" w:hAnsi="Times New Roman"/>
          <w:b w:val="0"/>
          <w:color w:val="000000"/>
          <w:sz w:val="20"/>
        </w:rPr>
        <w:t xml:space="preserve">STJ | Súmula 297</w:t>
      </w:r>
    </w:p>
    <w:p>
      <w:pPr>
        <w:spacing w:before="0" w:after="0" w:line="240" w:lineRule="auto"/>
        <w:ind w:firstLine="0" w:left="2268"/>
        <w:jc w:val="both"/>
      </w:pPr>
      <w:r>
        <w:rPr>
          <w:rFonts w:ascii="Times New Roman" w:hAnsi="Times New Roman"/>
          <w:b w:val="0"/>
          <w:color w:val="000000"/>
          <w:sz w:val="20"/>
        </w:rPr>
        <w:t xml:space="preserve">O Código de Defesa do Consumidor é aplicável às instituições financeiras.</w:t>
      </w:r>
    </w:p>
    <w:p>
      <w:pPr>
        <w:spacing w:before="0" w:after="0" w:line="360" w:lineRule="auto"/>
        <w:ind w:firstLine="0" w:left="0"/>
        <w:jc w:val="left"/>
      </w:pPr>
    </w:p>
    <w:p>
      <w:pPr>
        <w:spacing w:before="0" w:after="0" w:line="360" w:lineRule="auto"/>
        <w:ind w:firstLine="709" w:left="0"/>
        <w:jc w:val="both"/>
      </w:pPr>
      <w:r>
        <w:rPr>
          <w:rFonts w:ascii="Times New Roman" w:hAnsi="Times New Roman"/>
          <w:b w:val="0"/>
          <w:color w:val="000000"/>
          <w:sz w:val="24"/>
        </w:rPr>
        <w:t xml:space="preserve">No caso em tela, as relações entre a parte autora e a parte demandada devem ser reguladas, portanto, pelo Código de Defesa do Consumidor.</w:t>
      </w:r>
    </w:p>
    <w:p>
      <w:pPr>
        <w:spacing w:before="0" w:after="0" w:line="360" w:lineRule="auto"/>
        <w:ind w:firstLine="0" w:left="0"/>
        <w:jc w:val="left"/>
      </w:pPr>
    </w:p>
    <w:p>
      <w:pPr>
        <w:spacing w:before="0" w:after="0" w:line="360" w:lineRule="auto"/>
        <w:ind w:firstLine="0" w:left="0"/>
        <w:jc w:val="left"/>
      </w:pPr>
      <w:r>
        <w:rPr>
          <w:rFonts w:ascii="Times New Roman" w:hAnsi="Times New Roman"/>
          <w:b/>
          <w:color w:val="000000"/>
          <w:sz w:val="24"/>
        </w:rPr>
        <w:t xml:space="preserve">Ônus da prova neste caso concreto</w:t>
      </w:r>
    </w:p>
    <w:p>
      <w:pPr>
        <w:spacing w:before="0" w:after="0" w:line="360" w:lineRule="auto"/>
        <w:ind w:firstLine="709" w:left="0"/>
        <w:jc w:val="both"/>
      </w:pPr>
      <w:r>
        <w:rPr>
          <w:rFonts w:ascii="Times New Roman" w:hAnsi="Times New Roman"/>
          <w:b w:val="0"/>
          <w:color w:val="000000"/>
          <w:sz w:val="24"/>
        </w:rPr>
        <w:t xml:space="preserve">Com efeito, em causas como a debatida, incumbe à parte demandada a prova da existência do legítimo contrato que justifique os débitos da tarifa “CESTA B.EXPRESSO” na conta em que a parte autora recebe seu benefício previdenciário, mormente em face da inversão do ônus da prova imposta pela hipossuficiência da demandante (art. 6º, VIII, da Lei n. 8.078/90).</w:t>
      </w:r>
    </w:p>
    <w:p>
      <w:pPr>
        <w:spacing w:before="0" w:after="0" w:line="360" w:lineRule="auto"/>
        <w:ind w:firstLine="709" w:left="0"/>
        <w:jc w:val="both"/>
      </w:pPr>
      <w:r>
        <w:rPr>
          <w:rFonts w:ascii="Times New Roman" w:hAnsi="Times New Roman"/>
          <w:b w:val="0"/>
          <w:color w:val="000000"/>
          <w:sz w:val="24"/>
        </w:rPr>
        <w:t xml:space="preserve">Ademais, deve-se aplicar o princípio da carga dinâmica das provas para atribuir à parte demandada o ônus de demonstrar a existência dos fatos que lhe aproveitam. Ora, deixar ao consumidor o ônus de provar a inexistência de contrato é exigir que se prove fato negativo, somente possível através de elementos indiretos e de efetivação onerosa e complexa, portanto, inviável. Lado outro, à demandada seria por demais simples a prova da legítima contratação com a demandante, bastando apresentar o instrumento do contrato e documentos correlatos.</w:t>
      </w:r>
    </w:p>
    <w:p>
      <w:pPr>
        <w:spacing w:before="0" w:after="0" w:line="360" w:lineRule="auto"/>
        <w:ind w:firstLine="709" w:left="0"/>
        <w:jc w:val="both"/>
      </w:pPr>
      <w:r>
        <w:rPr>
          <w:rFonts w:ascii="Times New Roman" w:hAnsi="Times New Roman"/>
          <w:b w:val="0"/>
          <w:color w:val="000000"/>
          <w:sz w:val="24"/>
        </w:rPr>
        <w:t xml:space="preserve">Nessa ótica, considerado invertido o ônus probandi, deveria o demandado juntar aos autos virtuais o instrumento do contrato que alega legítimo, com a assinatura das partes, e documentos pessoais da demandante.</w:t>
      </w:r>
    </w:p>
    <w:p>
      <w:pPr>
        <w:spacing w:before="0" w:after="0" w:line="360" w:lineRule="auto"/>
        <w:ind w:firstLine="0" w:left="0"/>
        <w:jc w:val="left"/>
      </w:pPr>
    </w:p>
    <w:p>
      <w:pPr>
        <w:spacing w:before="0" w:after="0" w:line="360" w:lineRule="auto"/>
        <w:ind w:firstLine="0" w:left="0"/>
        <w:jc w:val="left"/>
      </w:pPr>
      <w:r>
        <w:rPr>
          <w:rFonts w:ascii="Times New Roman" w:hAnsi="Times New Roman"/>
          <w:b/>
          <w:color w:val="000000"/>
          <w:sz w:val="24"/>
        </w:rPr>
        <w:t xml:space="preserve">Comprovação de analfabetismo</w:t>
      </w:r>
    </w:p>
    <w:p>
      <w:pPr>
        <w:spacing w:before="0" w:after="0" w:line="360" w:lineRule="auto"/>
        <w:ind w:firstLine="709" w:left="0"/>
        <w:jc w:val="both"/>
      </w:pPr>
      <w:r>
        <w:rPr>
          <w:rFonts w:ascii="Times New Roman" w:hAnsi="Times New Roman"/>
          <w:b w:val="0"/>
          <w:color w:val="000000"/>
          <w:sz w:val="24"/>
        </w:rPr>
        <w:t xml:space="preserve">A parte autora, segundo o que consta no documento de identidade (Id. 88135360), que traz a anotação “Não Alfabetizado”, e na procuração outorgada com assinatura a rogo e subscrita por duas testemunhas (Id. 88135358), é analfabeta. Portanto, a contratação deveria ter observado os requisitos da lei civil. O sentido das súmulas do TJPI a seguir vão neste sentido:</w:t>
      </w:r>
    </w:p>
    <w:p>
      <w:pPr>
        <w:spacing w:before="0" w:after="0" w:line="360" w:lineRule="auto"/>
        <w:ind w:firstLine="0" w:left="0"/>
        <w:jc w:val="left"/>
      </w:pPr>
    </w:p>
    <w:p>
      <w:pPr>
        <w:spacing w:before="0" w:after="0" w:line="240" w:lineRule="auto"/>
        <w:ind w:firstLine="0" w:left="2268"/>
        <w:jc w:val="both"/>
      </w:pPr>
      <w:r>
        <w:rPr>
          <w:rFonts w:ascii="Times New Roman" w:hAnsi="Times New Roman"/>
          <w:b w:val="0"/>
          <w:color w:val="000000"/>
          <w:sz w:val="20"/>
        </w:rPr>
        <w:t xml:space="preserve">TJPI | Súmula 30</w:t>
      </w:r>
    </w:p>
    <w:p>
      <w:pPr>
        <w:spacing w:before="0" w:after="0" w:line="240" w:lineRule="auto"/>
        <w:ind w:firstLine="0" w:left="2268"/>
        <w:jc w:val="both"/>
      </w:pPr>
      <w:r>
        <w:rPr>
          <w:rFonts w:ascii="Times New Roman" w:hAnsi="Times New Roman"/>
          <w:b w:val="0"/>
          <w:color w:val="000000"/>
          <w:sz w:val="20"/>
        </w:rPr>
        <w:t xml:space="preserve">A ausência de assinatura a rogo e subscrição por duas testemunhas nos instrumento de contrato de mútuo bancário atribuídos a pessoa analfabeta torna o negócio jurídico nulo, mesmo que seja comprovada a disponibilização do valor em conta de sua titularidade, configurando ato ilícito, gerando o dever de repará-lo, cabendo ao magistrado ou magistrada, no caso concreto, e de forma fundamentada, reconhecer categorias reparatórias devidas e fixar o respectivo quantum, sem prejuízo de eventual compensação.</w:t>
      </w:r>
    </w:p>
    <w:p>
      <w:pPr>
        <w:spacing w:before="0" w:after="0" w:line="360" w:lineRule="auto"/>
        <w:ind w:firstLine="0" w:left="0"/>
        <w:jc w:val="left"/>
      </w:pPr>
    </w:p>
    <w:p>
      <w:pPr>
        <w:spacing w:before="0" w:after="0" w:line="240" w:lineRule="auto"/>
        <w:ind w:firstLine="0" w:left="2268"/>
        <w:jc w:val="both"/>
      </w:pPr>
      <w:r>
        <w:rPr>
          <w:rFonts w:ascii="Times New Roman" w:hAnsi="Times New Roman"/>
          <w:b w:val="0"/>
          <w:color w:val="000000"/>
          <w:sz w:val="20"/>
        </w:rPr>
        <w:t xml:space="preserve">TJPI | Súmula 37</w:t>
      </w:r>
    </w:p>
    <w:p>
      <w:pPr>
        <w:spacing w:before="0" w:after="0" w:line="240" w:lineRule="auto"/>
        <w:ind w:firstLine="0" w:left="2268"/>
        <w:jc w:val="both"/>
      </w:pPr>
      <w:r>
        <w:rPr>
          <w:rFonts w:ascii="Times New Roman" w:hAnsi="Times New Roman"/>
          <w:b w:val="0"/>
          <w:color w:val="000000"/>
          <w:sz w:val="20"/>
        </w:rPr>
        <w:t xml:space="preserve">Os contratos firmados com pessoas não alfabetizadas, inclusive os firmados na modalidade nato digital, devem cumprir os requisitos estabelecidos pelo artigo 595, do Código Civil.</w:t>
      </w:r>
    </w:p>
    <w:p>
      <w:pPr>
        <w:spacing w:before="0" w:after="0" w:line="360" w:lineRule="auto"/>
        <w:ind w:firstLine="0" w:left="0"/>
        <w:jc w:val="left"/>
      </w:pPr>
    </w:p>
    <w:p>
      <w:pPr>
        <w:spacing w:before="0" w:after="0" w:line="360" w:lineRule="auto"/>
        <w:ind w:firstLine="0" w:left="0"/>
        <w:jc w:val="left"/>
      </w:pPr>
      <w:r>
        <w:rPr>
          <w:rFonts w:ascii="Times New Roman" w:hAnsi="Times New Roman"/>
          <w:b/>
          <w:color w:val="000000"/>
          <w:sz w:val="24"/>
        </w:rPr>
        <w:t xml:space="preserve">Ato ilícito</w:t>
      </w:r>
    </w:p>
    <w:p>
      <w:pPr>
        <w:spacing w:before="0" w:after="0" w:line="360" w:lineRule="auto"/>
        <w:ind w:firstLine="709" w:left="0"/>
        <w:jc w:val="both"/>
      </w:pPr>
      <w:r>
        <w:rPr>
          <w:rFonts w:ascii="Times New Roman" w:hAnsi="Times New Roman"/>
          <w:b w:val="0"/>
          <w:color w:val="000000"/>
          <w:sz w:val="24"/>
        </w:rPr>
        <w:t xml:space="preserve">A parte demandada, ao desviar-se do ordenamento jurídico brasileiro, que exige bilateralismo hígido nas relações negociais, cometeu ato ilícito. Portanto, deve a conduta ser tida como cobrança indevida, causadora de evidente dano material. Tal fato, nos termos do art. 42, Parágrafo único, do CDC, impõe a restituição em dobro do indébito, com correção monetária e juros legais.</w:t>
      </w:r>
    </w:p>
    <w:p>
      <w:pPr>
        <w:spacing w:before="0" w:after="0" w:line="360" w:lineRule="auto"/>
        <w:ind w:firstLine="0" w:left="0"/>
        <w:jc w:val="left"/>
      </w:pPr>
    </w:p>
    <w:p>
      <w:pPr>
        <w:spacing w:before="0" w:after="0" w:line="360" w:lineRule="auto"/>
        <w:ind w:firstLine="0" w:left="0"/>
        <w:jc w:val="left"/>
      </w:pPr>
      <w:r>
        <w:rPr>
          <w:rFonts w:ascii="Times New Roman" w:hAnsi="Times New Roman"/>
          <w:b/>
          <w:color w:val="000000"/>
          <w:sz w:val="24"/>
        </w:rPr>
        <w:t xml:space="preserve">Danos morais</w:t>
      </w:r>
    </w:p>
    <w:p>
      <w:pPr>
        <w:spacing w:before="0" w:after="0" w:line="360" w:lineRule="auto"/>
        <w:ind w:firstLine="709" w:left="0"/>
        <w:jc w:val="both"/>
      </w:pPr>
      <w:r>
        <w:rPr>
          <w:rFonts w:ascii="Times New Roman" w:hAnsi="Times New Roman"/>
          <w:b w:val="0"/>
          <w:color w:val="000000"/>
          <w:sz w:val="24"/>
        </w:rPr>
        <w:t xml:space="preserve">A pessoa analfabeta é, por natureza, hipervulnerável no momento da formalização de contratos. Isso traz presunção ao dano moral, principalmente em se tratando de reflexo sobre verbas de caráter alimentar. Este, inclusive, é o entendimento do TJPI:</w:t>
      </w:r>
    </w:p>
    <w:p>
      <w:pPr>
        <w:spacing w:before="0" w:after="0" w:line="360" w:lineRule="auto"/>
        <w:ind w:firstLine="0" w:left="0"/>
        <w:jc w:val="left"/>
      </w:pPr>
    </w:p>
    <w:p>
      <w:pPr>
        <w:spacing w:before="0" w:after="0" w:line="240" w:lineRule="auto"/>
        <w:ind w:firstLine="0" w:left="2268"/>
        <w:jc w:val="both"/>
      </w:pPr>
      <w:r>
        <w:rPr>
          <w:rFonts w:ascii="Times New Roman" w:hAnsi="Times New Roman"/>
          <w:b w:val="0"/>
          <w:color w:val="000000"/>
          <w:sz w:val="20"/>
        </w:rPr>
        <w:t xml:space="preserve">Ementa: DIREITO CIVIL E PROCESSUAL CIVIL. AGRAVO INTERNO. EMPRÉSTIMO CONSIGNADO. CONTRATO NULO. CONSUMIDOR ANALFABETO. AUSÊNCIA DE ASSINATURA A ROGO. DESCONTOS INDEVIDOS EM BENEFÍCIO PREVIDENCIÁRIO. RELAÇÃO DE TRATO SUCESSIVO. PRESCRIÇÃO QUINQUENAL PARCIAL. DANO MORAL IN RE IPSA. QUANTUM INDENIZATÓRIO. MANUTENÇÃO DA DECISÃO AGRAVADA. RECURSO DESPROVIDO.</w:t>
      </w:r>
    </w:p>
    <w:p>
      <w:pPr>
        <w:spacing w:before="0" w:after="0" w:line="240" w:lineRule="auto"/>
        <w:ind w:firstLine="0" w:left="2268"/>
        <w:jc w:val="both"/>
      </w:pPr>
      <w:r>
        <w:rPr>
          <w:rFonts w:ascii="Times New Roman" w:hAnsi="Times New Roman"/>
          <w:b w:val="0"/>
          <w:color w:val="000000"/>
          <w:sz w:val="20"/>
        </w:rPr>
        <w:t xml:space="preserve">I. CASO EM EXAME</w:t>
      </w:r>
    </w:p>
    <w:p>
      <w:pPr>
        <w:spacing w:before="0" w:after="0" w:line="240" w:lineRule="auto"/>
        <w:ind w:firstLine="0" w:left="2268"/>
        <w:jc w:val="both"/>
      </w:pPr>
      <w:r>
        <w:rPr>
          <w:rFonts w:ascii="Times New Roman" w:hAnsi="Times New Roman"/>
          <w:b w:val="0"/>
          <w:color w:val="000000"/>
          <w:sz w:val="20"/>
        </w:rPr>
        <w:t xml:space="preserve">Agravo Interno interposto contra decisão monocrática que deu parcial provimento às Apelações Cíveis, mantendo a nulidade de contrato de empréstimo consignado firmado por consumidor analfabeto sem observância da assinatura a rogo, reconhecendo a prescrição parcial das parcelas anteriores ao quinquênio legal, adequando a restituição do indébito aos parâmetros do Superior Tribunal de Justiça e majorando a indenização por danos morais para R$ 2.000,00. A agravante sustenta a inaplicabilidade da prescrição parcial em relação de trato sucessivo e requer a majoração do quantum indenizatório.</w:t>
      </w:r>
    </w:p>
    <w:p>
      <w:pPr>
        <w:spacing w:before="0" w:after="0" w:line="240" w:lineRule="auto"/>
        <w:ind w:firstLine="0" w:left="2268"/>
        <w:jc w:val="both"/>
      </w:pPr>
      <w:r>
        <w:rPr>
          <w:rFonts w:ascii="Times New Roman" w:hAnsi="Times New Roman"/>
          <w:b w:val="0"/>
          <w:color w:val="000000"/>
          <w:sz w:val="20"/>
        </w:rPr>
        <w:t xml:space="preserve">II. QUESTÃO EM DISCUSSÃO</w:t>
      </w:r>
    </w:p>
    <w:p>
      <w:pPr>
        <w:spacing w:before="0" w:after="0" w:line="240" w:lineRule="auto"/>
        <w:ind w:firstLine="0" w:left="2268"/>
        <w:jc w:val="both"/>
      </w:pPr>
      <w:r>
        <w:rPr>
          <w:rFonts w:ascii="Times New Roman" w:hAnsi="Times New Roman"/>
          <w:b w:val="0"/>
          <w:color w:val="000000"/>
          <w:sz w:val="20"/>
        </w:rPr>
        <w:t xml:space="preserve">Há duas questões em discussão: (i) definir se, em descontos indevidos decorrentes de contrato de empréstimo consignado nulo incidentes sobre benefício previdenciário, a prescrição quinquenal alcança apenas as parcelas anteriores aos cinco anos do ajuizamento da ação; e (ii) estabelecer se o valor fixado a título de danos morais revela-se insuficiente diante das circunstâncias do caso concreto.</w:t>
      </w:r>
    </w:p>
    <w:p>
      <w:pPr>
        <w:spacing w:before="0" w:after="0" w:line="240" w:lineRule="auto"/>
        <w:ind w:firstLine="0" w:left="2268"/>
        <w:jc w:val="both"/>
      </w:pPr>
      <w:r>
        <w:rPr>
          <w:rFonts w:ascii="Times New Roman" w:hAnsi="Times New Roman"/>
          <w:b w:val="0"/>
          <w:color w:val="000000"/>
          <w:sz w:val="20"/>
        </w:rPr>
        <w:t xml:space="preserve">III. RAZÕES DE DECIDIR</w:t>
      </w:r>
    </w:p>
    <w:p>
      <w:pPr>
        <w:spacing w:before="0" w:after="0" w:line="240" w:lineRule="auto"/>
        <w:ind w:firstLine="0" w:left="2268"/>
        <w:jc w:val="both"/>
      </w:pPr>
      <w:r>
        <w:rPr>
          <w:rFonts w:ascii="Times New Roman" w:hAnsi="Times New Roman"/>
          <w:b w:val="0"/>
          <w:color w:val="000000"/>
          <w:sz w:val="20"/>
        </w:rPr>
        <w:t xml:space="preserve">A contratação de empréstimo consignado por consumidor analfabeto sem observância da assinatura a rogo viola o art. 595 do Código Civil e atrai a incidência da Súmula 30 do TJPI, impondo a nulidade contratual. A relação jurídica possui natureza consumerista, incidindo o Código de Defesa do Consumidor e a responsabilidade objetiva da instituição financeira, nos termos da Súmula 297 do STJ. Nas relações de trato sucessivo decorrentes de descontos indevidos em benefício previdenciário, aplica-se a prescrição quinquenal prevista no art. 27 do CDC, preservando-se apenas a restituição das parcelas descontadas dentro do quinquênio anterior ao ajuizamento da demanda. O deslocamento do termo inicial da prescrição para o último desconto indevido esvazia o instituto prescricional e contraria a jurisprudência consolidada do Superior Tribunal de Justiça. Os descontos indevidos em benefício previdenciário decorrentes de contrato nulo configuram dano moral in re ipsa, dispensando prova específica do prejuízo extrapatrimonial. O valor da indenização por danos morais fixado em R$ 2.000,00 observa os princípios da razoabilidade e proporcionalidade, considerando a extensão do dano, o caráter alimentar do benefício atingido e a condição econômica das partes. A revisão do quantum indenizatório somente se admite quando o valor arbitrado se mostra manifestamente irrisório ou exorbitante, hipótese não configurada nos autos. A decisão agravada enfrenta adequadamente as teses devolvidas pelas partes, observando os arts. 489, § 1º, IV, e 932 do CPC e o art. 93, IX, da Constituição Federal.</w:t>
      </w:r>
    </w:p>
    <w:p>
      <w:pPr>
        <w:spacing w:before="0" w:after="0" w:line="240" w:lineRule="auto"/>
        <w:ind w:firstLine="0" w:left="2268"/>
        <w:jc w:val="both"/>
      </w:pPr>
      <w:r>
        <w:rPr>
          <w:rFonts w:ascii="Times New Roman" w:hAnsi="Times New Roman"/>
          <w:b w:val="0"/>
          <w:color w:val="000000"/>
          <w:sz w:val="20"/>
        </w:rPr>
        <w:t xml:space="preserve">IV. DISPOSITIVO E TESE</w:t>
      </w:r>
    </w:p>
    <w:p>
      <w:pPr>
        <w:spacing w:before="0" w:after="0" w:line="240" w:lineRule="auto"/>
        <w:ind w:firstLine="0" w:left="2268"/>
        <w:jc w:val="both"/>
      </w:pPr>
      <w:r>
        <w:rPr>
          <w:rFonts w:ascii="Times New Roman" w:hAnsi="Times New Roman"/>
          <w:b w:val="0"/>
          <w:color w:val="000000"/>
          <w:sz w:val="20"/>
        </w:rPr>
        <w:t xml:space="preserve">Recurso desprovido.</w:t>
      </w:r>
    </w:p>
    <w:p>
      <w:pPr>
        <w:spacing w:before="0" w:after="0" w:line="240" w:lineRule="auto"/>
        <w:ind w:firstLine="0" w:left="2268"/>
        <w:jc w:val="both"/>
      </w:pPr>
      <w:r>
        <w:rPr>
          <w:rFonts w:ascii="Times New Roman" w:hAnsi="Times New Roman"/>
          <w:b w:val="0"/>
          <w:color w:val="000000"/>
          <w:sz w:val="20"/>
        </w:rPr>
        <w:t xml:space="preserve">Tese de julgamento: A nulidade de contrato de empréstimo consignado firmado por consumidor analfabeto sem assinatura a rogo autoriza a restituição dos descontos indevidos realizados em benefício previdenciário. Nas relações de trato sucessivo decorrentes de descontos indevidos em benefício previdenciário, a prescrição quinquenal alcança apenas as parcelas anteriores aos cinco anos do ajuizamento da ação. Os descontos indevidos em benefício previdenciário decorrentes de contrato nulo configuram dano moral in re ipsa. A revisão do quantum indenizatório depende da demonstração de manifesta irrisoriedade ou exorbitância do valor arbitrado.</w:t>
      </w:r>
    </w:p>
    <w:p>
      <w:pPr>
        <w:spacing w:before="0" w:after="0" w:line="240" w:lineRule="auto"/>
        <w:ind w:firstLine="0" w:left="2268"/>
        <w:jc w:val="both"/>
      </w:pPr>
      <w:r>
        <w:rPr>
          <w:rFonts w:ascii="Times New Roman" w:hAnsi="Times New Roman"/>
          <w:b w:val="0"/>
          <w:color w:val="000000"/>
          <w:sz w:val="20"/>
        </w:rPr>
        <w:t xml:space="preserve">Dispositivos relevantes citados: CF/1988, art. 93, IX; CPC, arts. 489, § 1º, IV, e 932; CDC, art. 27; CC, art. 595; RITJPI, art. 374.</w:t>
      </w:r>
    </w:p>
    <w:p>
      <w:pPr>
        <w:spacing w:before="0" w:after="0" w:line="240" w:lineRule="auto"/>
        <w:ind w:firstLine="0" w:left="2268"/>
        <w:jc w:val="both"/>
      </w:pPr>
      <w:r>
        <w:rPr>
          <w:rFonts w:ascii="Times New Roman" w:hAnsi="Times New Roman"/>
          <w:b w:val="0"/>
          <w:color w:val="000000"/>
          <w:sz w:val="20"/>
        </w:rPr>
        <w:t xml:space="preserve">Jurisprudência relevante citada: STJ, Súmula 297; TJPI, Súmula 30; STJ, AgRg no REsp 1.296.285/RJ, Rel. Min. Napoleão Nunes Maia Filho, Primeira Turma, j. 16.06.2016, DJe 24.06.2016; STJ, REsp 1.229.322/RJ, Rel. Min. Castro Meira, DJe 02.06.2011; STJ, AgRg no AREsp 600.569/RS, Rel. Min. Olindo Menezes, DJe 20.11.2015.</w:t>
      </w:r>
    </w:p>
    <w:p>
      <w:pPr>
        <w:spacing w:before="0" w:after="0" w:line="240" w:lineRule="auto"/>
        <w:ind w:firstLine="0" w:left="2268"/>
        <w:jc w:val="both"/>
      </w:pPr>
      <w:r>
        <w:rPr>
          <w:rFonts w:ascii="Times New Roman" w:hAnsi="Times New Roman"/>
          <w:b w:val="0"/>
          <w:color w:val="000000"/>
          <w:sz w:val="20"/>
        </w:rPr>
        <w:t xml:space="preserve">(TJPI - AGRAVO INTERNO CÍVEL 0000513-14.2017.8.18.0060 - Relator: MANOEL DE SOUSA DOURADO - 2ª Câmara Especializada Cível - Data 07/07/2026)</w:t>
      </w:r>
    </w:p>
    <w:p>
      <w:pPr>
        <w:spacing w:before="0" w:after="0" w:line="360" w:lineRule="auto"/>
        <w:ind w:firstLine="0" w:left="0"/>
        <w:jc w:val="left"/>
      </w:pPr>
    </w:p>
    <w:p>
      <w:pPr>
        <w:spacing w:before="0" w:after="0" w:line="360" w:lineRule="auto"/>
        <w:ind w:firstLine="709" w:left="0"/>
        <w:jc w:val="both"/>
      </w:pPr>
      <w:r>
        <w:rPr>
          <w:rFonts w:ascii="Times New Roman" w:hAnsi="Times New Roman"/>
          <w:b w:val="0"/>
          <w:color w:val="000000"/>
          <w:sz w:val="24"/>
        </w:rPr>
        <w:t xml:space="preserve">Por conseguinte, conforme esta jurisprudência de caso similar estabeleceu, também aqui se conclui que “o valor da indenização por danos morais fixado em R$ 2.000,00 observa os princípios da razoabilidade e proporcionalidade, considerando a extensão do dano, o caráter alimentar do benefício atingido e a condição econômica das partes”.</w:t>
      </w:r>
    </w:p>
    <w:p>
      <w:pPr>
        <w:spacing w:before="0" w:after="0" w:line="360" w:lineRule="auto"/>
        <w:ind w:firstLine="709" w:left="0"/>
        <w:jc w:val="both"/>
      </w:pPr>
      <w:r>
        <w:rPr>
          <w:rFonts w:ascii="Times New Roman" w:hAnsi="Times New Roman"/>
          <w:b w:val="0"/>
          <w:color w:val="000000"/>
          <w:sz w:val="24"/>
        </w:rPr>
        <w:t xml:space="preserve">Os autos atestam, precipuamente, um prejuízo de R$ 1.672,55 (mil, seiscentos e setenta e dois reais e cinquenta e cinco centavos), a ser contabilizado em liquidação.</w:t>
      </w:r>
    </w:p>
    <w:p>
      <w:pPr>
        <w:spacing w:before="0" w:after="0" w:line="360" w:lineRule="auto"/>
        <w:ind w:firstLine="0" w:left="0"/>
        <w:jc w:val="left"/>
      </w:pPr>
    </w:p>
    <w:p>
      <w:pPr>
        <w:spacing w:before="0" w:after="0" w:line="360" w:lineRule="auto"/>
        <w:ind w:firstLine="0" w:left="0"/>
        <w:jc w:val="center"/>
      </w:pPr>
      <w:r>
        <w:rPr>
          <w:rFonts w:ascii="Times New Roman" w:hAnsi="Times New Roman"/>
          <w:b/>
          <w:color w:val="000000"/>
          <w:sz w:val="24"/>
        </w:rPr>
        <w:t xml:space="preserve">III - DISPOSITIVO</w:t>
      </w:r>
    </w:p>
    <w:p>
      <w:pPr>
        <w:spacing w:before="0" w:after="0" w:line="360" w:lineRule="auto"/>
        <w:ind w:firstLine="0" w:left="0"/>
        <w:jc w:val="left"/>
      </w:pPr>
    </w:p>
    <w:p>
      <w:pPr>
        <w:spacing w:before="0" w:after="0" w:line="360" w:lineRule="auto"/>
        <w:ind w:firstLine="709" w:left="0"/>
        <w:jc w:val="both"/>
      </w:pPr>
      <w:r>
        <w:rPr>
          <w:rFonts w:ascii="Times New Roman" w:hAnsi="Times New Roman"/>
          <w:b w:val="0"/>
          <w:color w:val="000000"/>
          <w:sz w:val="24"/>
        </w:rPr>
        <w:t xml:space="preserve">Pelo exposto, com fundamento nos arts. 186, 595 e 927 do CC, nos arts. 6º, VIII, e 14 do CDC e nas Súmulas 30 e 37 do TJPI, c/c o art. 487, I, do CPC, JULGO PROCEDENTES os pedidos para declarar a nulidade do contrato nº 0458772649 (Termo de Opção à Cesta de Serviços “Cesta Bradesco Expresso”, Id. 97011691) e inexigível o débito dele decorrente, condenar a parte demandada a restituir em dobro os valores descontados do benefício da parte autora, cessando de imediato os descontos, e condenar a parte demandada ao pagamento de indenização por danos morais no valor de R$ 2.000,00 (dois mil reais).</w:t>
      </w:r>
    </w:p>
    <w:p>
      <w:pPr>
        <w:spacing w:before="0" w:after="0" w:line="360" w:lineRule="auto"/>
        <w:ind w:firstLine="709" w:left="0"/>
        <w:jc w:val="both"/>
      </w:pPr>
      <w:r>
        <w:rPr>
          <w:rFonts w:ascii="Times New Roman" w:hAnsi="Times New Roman"/>
          <w:b w:val="0"/>
          <w:color w:val="000000"/>
          <w:sz w:val="24"/>
        </w:rPr>
        <w:t xml:space="preserve">Sobre a indenização por danos morais incidem correção monetária pelo IPCA desde o arbitramento (Súmula 362 do STJ) e juros de mora pela taxa legal (art. 406, § 1º, do CC) desde o evento danoso (Súmula 54 do STJ).</w:t>
      </w:r>
    </w:p>
    <w:p>
      <w:pPr>
        <w:spacing w:before="0" w:after="0" w:line="360" w:lineRule="auto"/>
        <w:ind w:firstLine="0" w:left="0"/>
        <w:jc w:val="left"/>
      </w:pPr>
    </w:p>
    <w:p>
      <w:pPr>
        <w:spacing w:before="0" w:after="0" w:line="360" w:lineRule="auto"/>
        <w:ind w:firstLine="709" w:left="0"/>
        <w:jc w:val="both"/>
      </w:pPr>
      <w:r>
        <w:rPr>
          <w:rFonts w:ascii="Times New Roman" w:hAnsi="Times New Roman"/>
          <w:b w:val="0"/>
          <w:color w:val="000000"/>
          <w:sz w:val="24"/>
        </w:rPr>
        <w:t xml:space="preserve">Considerando o prazo prescricional de 05 (cinco) anos do art. 27 do CDC, a restituição alcança apenas as parcelas não prescritas.</w:t>
      </w:r>
    </w:p>
    <w:p>
      <w:pPr>
        <w:spacing w:before="0" w:after="0" w:line="360" w:lineRule="auto"/>
        <w:ind w:firstLine="709" w:left="0"/>
        <w:jc w:val="both"/>
      </w:pPr>
      <w:r>
        <w:rPr>
          <w:rFonts w:ascii="Times New Roman" w:hAnsi="Times New Roman"/>
          <w:b w:val="0"/>
          <w:color w:val="000000"/>
          <w:sz w:val="24"/>
        </w:rPr>
        <w:t xml:space="preserve">O valor da restituição será acrescido de juros de mora pela taxa legal (art. 406, § 1º, do CC) desde a citação e de correção monetária pelo IPCA desde cada débito (art. 389, parágrafo único, do CC).</w:t>
      </w:r>
    </w:p>
    <w:p>
      <w:pPr>
        <w:spacing w:before="0" w:after="0" w:line="360" w:lineRule="auto"/>
        <w:ind w:firstLine="709" w:left="0"/>
        <w:jc w:val="both"/>
      </w:pPr>
      <w:r>
        <w:rPr>
          <w:rFonts w:ascii="Times New Roman" w:hAnsi="Times New Roman"/>
          <w:b w:val="0"/>
          <w:color w:val="000000"/>
          <w:sz w:val="24"/>
        </w:rPr>
        <w:t xml:space="preserve">Custas pela parte demandada. Fixo honorários em 10% (dez por cento) sobre o valor da condenação.</w:t>
      </w:r>
    </w:p>
    <w:p>
      <w:pPr>
        <w:spacing w:before="0" w:after="0" w:line="360" w:lineRule="auto"/>
        <w:ind w:firstLine="0" w:left="0"/>
        <w:jc w:val="left"/>
      </w:pPr>
    </w:p>
    <w:p>
      <w:pPr>
        <w:spacing w:before="0" w:after="0" w:line="360" w:lineRule="auto"/>
        <w:ind w:firstLine="709" w:left="0"/>
        <w:jc w:val="both"/>
      </w:pPr>
      <w:r>
        <w:rPr>
          <w:rFonts w:ascii="Times New Roman" w:hAnsi="Times New Roman"/>
          <w:b w:val="0"/>
          <w:color w:val="000000"/>
          <w:sz w:val="24"/>
        </w:rPr>
        <w:t xml:space="preserve">Publique-se. Registre-se. Intimem-se.</w:t>
      </w:r>
    </w:p>
    <w:p>
      <w:pPr>
        <w:spacing w:before="0" w:after="0" w:line="360" w:lineRule="auto"/>
        <w:ind w:firstLine="709" w:left="0"/>
        <w:jc w:val="both"/>
      </w:pPr>
      <w:r>
        <w:rPr>
          <w:rFonts w:ascii="Times New Roman" w:hAnsi="Times New Roman"/>
          <w:b w:val="0"/>
          <w:color w:val="000000"/>
          <w:sz w:val="24"/>
        </w:rPr>
        <w:t xml:space="preserve">Com o trânsito em julgado, cumprida a sentença, arquivem-se os autos com a devida baixa.</w:t>
      </w:r>
    </w:p>
    <w:p>
      <w:pPr>
        <w:spacing w:before="0" w:after="0" w:line="360" w:lineRule="auto"/>
        <w:ind w:firstLine="709" w:left="0"/>
        <w:jc w:val="both"/>
      </w:pPr>
      <w:r>
        <w:rPr>
          <w:rFonts w:ascii="Times New Roman" w:hAnsi="Times New Roman"/>
          <w:b w:val="0"/>
          <w:color w:val="000000"/>
          <w:sz w:val="24"/>
        </w:rPr>
        <w:t xml:space="preserve">Havendo apelação, intime-se a parte contrária para contrarrazões em 15 (quinze) dias e, após, remetam-se os autos ao e. Tribunal de Justiça.</w:t>
      </w:r>
    </w:p>
    <w:p>
      <w:pPr>
        <w:spacing w:before="0" w:after="0" w:line="360" w:lineRule="auto"/>
        <w:ind w:firstLine="0" w:left="0"/>
        <w:jc w:val="left"/>
      </w:pPr>
    </w:p>
    <w:p>
      <w:pPr>
        <w:spacing w:before="0" w:after="0" w:line="360" w:lineRule="auto"/>
        <w:ind w:firstLine="0" w:left="0"/>
        <w:jc w:val="center"/>
      </w:pPr>
      <w:r>
        <w:rPr>
          <w:rFonts w:ascii="Times New Roman" w:hAnsi="Times New Roman"/>
          <w:b w:val="0"/>
          <w:color w:val="000000"/>
          <w:sz w:val="24"/>
        </w:rPr>
        <w:t xml:space="preserve">ITAUEIRA-PI, [[[CONFERIR NOS AUTOS]]].</w:t>
      </w:r>
    </w:p>
    <w:p>
      <w:pPr>
        <w:spacing w:before="0" w:after="0" w:line="360" w:lineRule="auto"/>
        <w:ind w:firstLine="0" w:left="0"/>
        <w:jc w:val="left"/>
      </w:pPr>
    </w:p>
    <w:p>
      <w:pPr>
        <w:spacing w:before="0" w:after="0" w:line="360" w:lineRule="auto"/>
        <w:ind w:firstLine="0" w:left="0"/>
        <w:jc w:val="left"/>
      </w:pPr>
    </w:p>
    <w:p>
      <w:pPr>
        <w:spacing w:before="0" w:after="0" w:line="360" w:lineRule="auto"/>
        <w:ind w:firstLine="0" w:left="0"/>
        <w:jc w:val="center"/>
      </w:pPr>
      <w:r>
        <w:rPr>
          <w:rFonts w:ascii="Times New Roman" w:hAnsi="Times New Roman"/>
          <w:b/>
          <w:color w:val="000000"/>
          <w:sz w:val="24"/>
        </w:rPr>
        <w:t xml:space="preserve">MÁRIO SOARES DE ALENCAR</w:t>
      </w:r>
    </w:p>
    <w:p>
      <w:pPr>
        <w:spacing w:before="0" w:after="0" w:line="360" w:lineRule="auto"/>
        <w:ind w:firstLine="0" w:left="0"/>
        <w:jc w:val="center"/>
      </w:pPr>
      <w:r>
        <w:rPr>
          <w:rFonts w:ascii="Times New Roman" w:hAnsi="Times New Roman"/>
          <w:b w:val="0"/>
          <w:color w:val="000000"/>
          <w:sz w:val="24"/>
        </w:rPr>
        <w:t xml:space="preserve">Juiz de Direito da Vara Única da Comarca de Itaueira</w:t>
      </w:r>
    </w:p>
    <w:sectPr w:rsidR="00FC693F" w:rsidRPr="0006063C" w:rsidSect="00034616">
      <w:pgSz w:w="11906" w:h="16838"/>
      <w:pgMar w:top="1701"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