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left="0"/>
        <w:jc w:val="center"/>
      </w:pPr>
      <w:r>
        <w:rPr>
          <w:rFonts w:ascii="Times New Roman" w:hAnsi="Times New Roman"/>
          <w:b/>
          <w:color w:val="000000"/>
          <w:sz w:val="24"/>
        </w:rPr>
        <w:t xml:space="preserve">I - RELATÓRIO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Trata-se de ação de indenização por danos materiais e morais por cobrança indevida de taxas e tarifas proposta por EMILIO RODRIGUES DA SILVA, em face de BANCO BRADESCO S.A., pelos motivos expostos na inicial.</w:t>
      </w:r>
    </w:p>
    <w:p>
      <w:pPr>
        <w:spacing w:before="0" w:after="0" w:line="360" w:lineRule="auto"/>
        <w:ind w:firstLine="709" w:left="0"/>
        <w:jc w:val="both"/>
      </w:pPr>
      <w:r>
        <w:rPr>
          <w:rFonts w:ascii="Times New Roman" w:hAnsi="Times New Roman"/>
          <w:b w:val="0"/>
          <w:color w:val="000000"/>
          <w:sz w:val="24"/>
        </w:rPr>
        <w:t xml:space="preserve">A parte autora alega na inicial (Id. 87717456), em resumo, que é idosa, de baixa escolaridade, e sofre, sem ter contratado, débitos da tarifa “CESTA B.EXPRESSO5” na conta em que recebe seu benefício, no valor de R$ 53,90 por lançamento (Id. 87717471).</w:t>
      </w:r>
    </w:p>
    <w:p>
      <w:pPr>
        <w:spacing w:before="0" w:after="0" w:line="360" w:lineRule="auto"/>
        <w:ind w:firstLine="709" w:left="0"/>
        <w:jc w:val="both"/>
      </w:pPr>
      <w:r>
        <w:rPr>
          <w:rFonts w:ascii="Times New Roman" w:hAnsi="Times New Roman"/>
          <w:b w:val="0"/>
          <w:color w:val="000000"/>
          <w:sz w:val="24"/>
        </w:rPr>
        <w:t xml:space="preserve">Por isso, requer a inversão do ônus da prova, a restituição em dobro dos valores descontados e indenização por danos morais no valor de R$ 10.000,00.</w:t>
      </w:r>
    </w:p>
    <w:p>
      <w:pPr>
        <w:spacing w:before="0" w:after="0" w:line="360" w:lineRule="auto"/>
        <w:ind w:firstLine="709" w:left="0"/>
        <w:jc w:val="both"/>
      </w:pPr>
      <w:r>
        <w:rPr>
          <w:rFonts w:ascii="Times New Roman" w:hAnsi="Times New Roman"/>
          <w:b w:val="0"/>
          <w:color w:val="000000"/>
          <w:sz w:val="24"/>
        </w:rPr>
        <w:t xml:space="preserve">Citado, o demandado apresentou contestação (Id. 97649079) alegando, em síntese, que a cesta foi contratada mediante termo de opção assinado pela parte autora (Id. 97649081) e por ela utilizada, inexistindo ato ilícito, dano moral ou dever de restituir em dobro.</w:t>
      </w:r>
    </w:p>
    <w:p>
      <w:pPr>
        <w:spacing w:before="0" w:after="0" w:line="360" w:lineRule="auto"/>
        <w:ind w:firstLine="709" w:left="0"/>
        <w:jc w:val="both"/>
      </w:pPr>
      <w:r>
        <w:rPr>
          <w:rFonts w:ascii="Times New Roman" w:hAnsi="Times New Roman"/>
          <w:b w:val="0"/>
          <w:color w:val="000000"/>
          <w:sz w:val="24"/>
        </w:rPr>
        <w:t xml:space="preserve">Em réplica (Id. 97731620), a parte autora alegou que não há prova idônea de sua vontade e que a adesão decorreu de vício de consentimento e venda casada.</w:t>
      </w:r>
    </w:p>
    <w:p>
      <w:pPr>
        <w:spacing w:before="0" w:after="0" w:line="360" w:lineRule="auto"/>
        <w:ind w:firstLine="709" w:left="0"/>
        <w:jc w:val="both"/>
      </w:pPr>
      <w:r>
        <w:rPr>
          <w:rFonts w:ascii="Times New Roman" w:hAnsi="Times New Roman"/>
          <w:b w:val="0"/>
          <w:color w:val="000000"/>
          <w:sz w:val="24"/>
        </w:rPr>
        <w:t xml:space="preserve">Vieram os autos conclusos.</w:t>
      </w:r>
    </w:p>
    <w:p>
      <w:pPr>
        <w:spacing w:before="0" w:after="0" w:line="360" w:lineRule="auto"/>
        <w:ind w:firstLine="709" w:left="0"/>
        <w:jc w:val="both"/>
      </w:pPr>
      <w:r>
        <w:rPr>
          <w:rFonts w:ascii="Times New Roman" w:hAnsi="Times New Roman"/>
          <w:b w:val="0"/>
          <w:color w:val="000000"/>
          <w:sz w:val="24"/>
        </w:rPr>
        <w:t xml:space="preserve">É o relatório. Fundamento e decido.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 - FUNDAMENTO</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Julgamento do processo no estado em que se encontra.</w:t>
      </w:r>
    </w:p>
    <w:p>
      <w:pPr>
        <w:spacing w:before="0" w:after="0" w:line="360" w:lineRule="auto"/>
        <w:ind w:firstLine="709" w:left="0"/>
        <w:jc w:val="both"/>
      </w:pPr>
      <w:r>
        <w:rPr>
          <w:rFonts w:ascii="Times New Roman" w:hAnsi="Times New Roman"/>
          <w:b w:val="0"/>
          <w:color w:val="000000"/>
          <w:sz w:val="24"/>
        </w:rPr>
        <w:t xml:space="preserve">Da análise dos autos, oportuno o julgamento do processo no estado em que se encontra, sendo desnecessária maior dilação probatória, eis que o acervo probatório é suficiente para o deslinde do feito, nos termos do art. 355, I do CPC.</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Prescrição</w:t>
      </w:r>
    </w:p>
    <w:p>
      <w:pPr>
        <w:spacing w:before="0" w:after="0" w:line="360" w:lineRule="auto"/>
        <w:ind w:firstLine="709" w:left="0"/>
        <w:jc w:val="both"/>
      </w:pPr>
      <w:r>
        <w:rPr>
          <w:rFonts w:ascii="Times New Roman" w:hAnsi="Times New Roman"/>
          <w:b w:val="0"/>
          <w:color w:val="000000"/>
          <w:sz w:val="24"/>
        </w:rPr>
        <w:t xml:space="preserve">De início, considerando que se aplica ao caso o prazo prescricional de 05 (cinco) anos previsto no art. 27 do CDC, pois se trata de relação de consumo, não reconheço a ocorrência de prescrição da pretensão da parte autora. Devem ser consideradas prescritas todas as parcelas descontadas há mais de 05 (cinco) anos do ajuizamento da demanda.</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Descontos</w:t>
      </w:r>
    </w:p>
    <w:p>
      <w:pPr>
        <w:spacing w:before="0" w:after="0" w:line="360" w:lineRule="auto"/>
        <w:ind w:firstLine="709" w:left="0"/>
        <w:jc w:val="both"/>
      </w:pPr>
      <w:r>
        <w:rPr>
          <w:rFonts w:ascii="Times New Roman" w:hAnsi="Times New Roman"/>
          <w:b w:val="0"/>
          <w:color w:val="000000"/>
          <w:sz w:val="24"/>
        </w:rPr>
        <w:t xml:space="preserve">Em síntese, afirma a parte autora que a parte demandada descontou valores de suposta tarifa bancária “CESTA B.EXPRESSO5” que nunca foi objeto de negócio entre as partes, pelo que pede a restituição em dobro dos valores descontados indevidamente e indenização pelos danos morais.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Natureza da relação jurídica</w:t>
      </w:r>
    </w:p>
    <w:p>
      <w:pPr>
        <w:spacing w:before="0" w:after="0" w:line="360" w:lineRule="auto"/>
        <w:ind w:firstLine="709" w:left="0"/>
        <w:jc w:val="both"/>
      </w:pPr>
      <w:r>
        <w:rPr>
          <w:rFonts w:ascii="Times New Roman" w:hAnsi="Times New Roman"/>
          <w:b w:val="0"/>
          <w:color w:val="000000"/>
          <w:sz w:val="24"/>
        </w:rPr>
        <w:t xml:space="preserve">As instituições financeiras e os bancos, como prestadores de serviço especialmente contemplados no artigo 3º, § 2º, da Lei n. 8.078/1990, estão “submetidos às disposições do Código de Defesa do Consumidor” (STJ, 3a Turma, AgREsp 219092, Rel. Min. Nancy Andrighi, unânime, j. 07.12.2000, DJ 05.02.2001). Este entendimento está pacificado e sumulado pelo STJ:</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STJ | Súmula 297</w:t>
      </w:r>
    </w:p>
    <w:p>
      <w:pPr>
        <w:spacing w:before="0" w:after="0" w:line="240" w:lineRule="auto"/>
        <w:ind w:firstLine="0" w:left="2268"/>
        <w:jc w:val="both"/>
      </w:pPr>
      <w:r>
        <w:rPr>
          <w:rFonts w:ascii="Times New Roman" w:hAnsi="Times New Roman"/>
          <w:b w:val="0"/>
          <w:color w:val="000000"/>
          <w:sz w:val="20"/>
        </w:rPr>
        <w:t xml:space="preserve">O Código de Defesa do Consumidor é aplicável às instituições financeiras.</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No caso em tela, as relações entre a parte autora e a parte demandada devem ser reguladas, portanto, pelo Código de Defesa do Consumidor.</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Ônus da prova neste caso concreto</w:t>
      </w:r>
    </w:p>
    <w:p>
      <w:pPr>
        <w:spacing w:before="0" w:after="0" w:line="360" w:lineRule="auto"/>
        <w:ind w:firstLine="709" w:left="0"/>
        <w:jc w:val="both"/>
      </w:pPr>
      <w:r>
        <w:rPr>
          <w:rFonts w:ascii="Times New Roman" w:hAnsi="Times New Roman"/>
          <w:b w:val="0"/>
          <w:color w:val="000000"/>
          <w:sz w:val="24"/>
        </w:rPr>
        <w:t xml:space="preserve">Com efeito, em causas como a debatida, incumbe à parte demandada a prova da existência do legítimo contrato que justifique os débitos da tarifa “CESTA B.EXPRESSO5” na conta em que a parte autora recebe seu benefício previdenciário, mormente em face da inversão do ônus da prova imposta pela hipossuficiência da demandante (art. 6º, VIII, da Lei n. 8.078/90).</w:t>
      </w:r>
    </w:p>
    <w:p>
      <w:pPr>
        <w:spacing w:before="0" w:after="0" w:line="360" w:lineRule="auto"/>
        <w:ind w:firstLine="709" w:left="0"/>
        <w:jc w:val="both"/>
      </w:pPr>
      <w:r>
        <w:rPr>
          <w:rFonts w:ascii="Times New Roman" w:hAnsi="Times New Roman"/>
          <w:b w:val="0"/>
          <w:color w:val="000000"/>
          <w:sz w:val="24"/>
        </w:rPr>
        <w:t xml:space="preserve">Ademais, deve-se aplicar o princípio da carga dinâmica das provas para atribuir à parte demandada o ônus de demonstrar a existência dos fatos que lhe aproveitam. Ora, deixar ao consumidor o ônus de provar a inexistência de contrato é exigir que se prove fato negativo, somente possível através de elementos indiretos e de efetivação onerosa e complexa, portanto, inviável. Lado outro, à demandada seria por demais simples a prova da legítima contratação com a demandante, bastando apresentar o instrumento do contrato e documentos correlatos.</w:t>
      </w:r>
    </w:p>
    <w:p>
      <w:pPr>
        <w:spacing w:before="0" w:after="0" w:line="360" w:lineRule="auto"/>
        <w:ind w:firstLine="709" w:left="0"/>
        <w:jc w:val="both"/>
      </w:pPr>
      <w:r>
        <w:rPr>
          <w:rFonts w:ascii="Times New Roman" w:hAnsi="Times New Roman"/>
          <w:b w:val="0"/>
          <w:color w:val="000000"/>
          <w:sz w:val="24"/>
        </w:rPr>
        <w:t xml:space="preserve">Nessa ótica, considerado invertido o ônus probandi, deveria o demandado juntar aos autos virtuais o instrumento do contrato que alega legítimo, com a assinatura das partes, e documentos pessoais da demandante.</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 perfectibilização do negócio jurídico</w:t>
      </w:r>
    </w:p>
    <w:p>
      <w:pPr>
        <w:spacing w:before="0" w:after="0" w:line="360" w:lineRule="auto"/>
        <w:ind w:firstLine="709" w:left="0"/>
        <w:jc w:val="both"/>
      </w:pPr>
      <w:r>
        <w:rPr>
          <w:rFonts w:ascii="Times New Roman" w:hAnsi="Times New Roman"/>
          <w:b w:val="0"/>
          <w:color w:val="000000"/>
          <w:sz w:val="24"/>
        </w:rPr>
        <w:t xml:space="preserve">A parte demandada apresentou nos autos os elementos que comprovam a contratação: contrato com assinatura – Termo de Opção à Cesta de Serviços Bradesco Expresso (Id. 97649081), na modalidade adesão, relativo à “Cesta Bradesco Expresso 5”, com mensalidade de R$ 31,70, vinculado ao CPF da parte autora e à agência 5794, conta-corrente 9562-1, firmado em Itaueira-PI em 17/12/2020, com autorização expressa para o débito da tarifa mensal na conta-corrente e assinatura da parte autora.</w:t>
      </w:r>
    </w:p>
    <w:p>
      <w:pPr>
        <w:spacing w:before="0" w:after="0" w:line="360" w:lineRule="auto"/>
        <w:ind w:firstLine="709" w:left="0"/>
        <w:jc w:val="both"/>
      </w:pPr>
      <w:r>
        <w:rPr>
          <w:rFonts w:ascii="Times New Roman" w:hAnsi="Times New Roman"/>
          <w:b w:val="0"/>
          <w:color w:val="000000"/>
          <w:sz w:val="24"/>
        </w:rPr>
        <w:t xml:space="preserve">Sendo assim, mister é a aplicação do princípio pacta sunt servanda, assim conceituado por Flávio Tartuce:</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Decorrente do princípio da autonomia privada, a força obrigatória dos contratos prevê que tem força de lei o estipulado pelas partes na avença, constrangendo os contratantes ao cumprimento do conteúdo completo do negócio jurídico. Esse princípio importa em autêntica restrição da liberdade, que se tornou limitada para aqueles que contrataram a partir do momento em que vieram a formar o contrato consensualmente e dotados de vontade autônoma. (TARTUCE, Flávio. Direito Civil - Vol.3 - 21ª Edição 2026. 21. ed. Rio de Janeiro: Forense, 2026. E-book. p. 104)</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Portanto, o negócio jurídico encontra-se perfectibilizado, na medida em que possui agentes capazes, objeto lícito determinado e forma não defesa em lei.</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Dos comprovantes de operação bancária</w:t>
      </w:r>
    </w:p>
    <w:p>
      <w:pPr>
        <w:spacing w:before="0" w:after="0" w:line="360" w:lineRule="auto"/>
        <w:ind w:firstLine="709" w:left="0"/>
        <w:jc w:val="both"/>
      </w:pPr>
      <w:r>
        <w:rPr>
          <w:rFonts w:ascii="Times New Roman" w:hAnsi="Times New Roman"/>
          <w:b w:val="0"/>
          <w:color w:val="000000"/>
          <w:sz w:val="24"/>
        </w:rPr>
        <w:t xml:space="preserve">Contém nos autos extratos bancários (Id. 97649080 e Id. 87717471) que demonstram que a contraprestação foi devidamente descontada. Os dados estão descritos como: titular EMILIO RODRIGUES DA SILVA, agência 5794-0, conta-corrente 9.562-1, lançamentos sob a rubrica “TARIFA BANCARIA – CESTA B.EXPRESSO5” entre 15/01/2021 e 15/06/2023 e os valores descritos são: R$ 31,70 no primeiro débito (15/01/2021), idêntico à mensalidade prevista no termo de opção, e, nos meses seguintes, entre R$ 37,20 e R$ 53,90, o que se coaduna com o que fora alegado.</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 escolaridade da parte autora</w:t>
      </w:r>
    </w:p>
    <w:p>
      <w:pPr>
        <w:spacing w:before="0" w:after="0" w:line="360" w:lineRule="auto"/>
        <w:ind w:firstLine="709" w:left="0"/>
        <w:jc w:val="both"/>
      </w:pPr>
      <w:r>
        <w:rPr>
          <w:rFonts w:ascii="Times New Roman" w:hAnsi="Times New Roman"/>
          <w:b w:val="0"/>
          <w:color w:val="000000"/>
          <w:sz w:val="24"/>
        </w:rPr>
        <w:t xml:space="preserve">Não há nos autos perícia ou documento que demonstre o grau de instrução ou letramento da parte autora, ônus que incumbia à parte autora (art. 373, I, do Código de Processo Civil). Ora, a inversão do art. 6º, VIII, do Código de Defesa do Consumidor recai apenas sobre a existência do contrato, fato do fornecedor, e não sobre a condição pessoal de quem a alega. Ao revés, os elementos dos autos apontam em sentido contrário, na medida em que o demandante lançou assinatura de próprio punho no termo de opção (Id. 97649081), na procuração (Id. 87717466) e em seu documento de identidade (Id. 87717464). O precedente do TJPI a seguir adere a esta tese:</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EMENTA: PROCESSUAL CIVIL. AÇÃO DECLARATÓRIA DE NULIDADE DE RELAÇÃO JURÍDICA C/C EXIBIÇÃO DE DOCUMENTO C/C REPETIÇÃO DO INDÉBITO C/C PEDIDO DE INDENIZAÇÃO POR DANOS MORAIS. EMPRÉSTIMO CONSIGNADO. ANALFABETISMO FUNCIONAL. NÃO COMPROVADO. CONTRATO ASSINADO. FATOS CONSTITUTIVOS. ÔNUS DA PROVA. RECURSO CONHECIDO E DESPROVIDO.</w:t>
      </w:r>
    </w:p>
    <w:p>
      <w:pPr>
        <w:spacing w:before="0" w:after="0" w:line="240" w:lineRule="auto"/>
        <w:ind w:firstLine="0" w:left="2268"/>
        <w:jc w:val="both"/>
      </w:pPr>
      <w:r>
        <w:rPr>
          <w:rFonts w:ascii="Times New Roman" w:hAnsi="Times New Roman"/>
          <w:b w:val="0"/>
          <w:color w:val="000000"/>
          <w:sz w:val="20"/>
        </w:rPr>
        <w:t xml:space="preserve">I – O analfabetismo não caracteriza, por si só, vício de consentimento apto a ensejar a anulação do negócio jurídico, pois, mesmo sendo pessoa analfabeta pode ter capacidade de compreender os fatos e exprimir sua real vontade.</w:t>
      </w:r>
    </w:p>
    <w:p>
      <w:pPr>
        <w:spacing w:before="0" w:after="0" w:line="240" w:lineRule="auto"/>
        <w:ind w:firstLine="0" w:left="2268"/>
        <w:jc w:val="both"/>
      </w:pPr>
      <w:r>
        <w:rPr>
          <w:rFonts w:ascii="Times New Roman" w:hAnsi="Times New Roman"/>
          <w:b w:val="0"/>
          <w:color w:val="000000"/>
          <w:sz w:val="20"/>
        </w:rPr>
        <w:t xml:space="preserve">II – O ordenamento jurídico não veda a pessoa analfabeta de praticar atos da vida civil, como no caso de contratar um empréstimo consignado, tanto que nos arts. 3º e 4º, do CC, o analfabetismo não foi colocado como fator de incapacidade relativa, tampouco absoluta. Todavia, a validade do contrato entabulado com pessoa analfabeta, de fato, depende da observância de condições específicas, notadamente a formalização do negócio por meio de procurador a rogo e por duas testemunhas, como entabulado no art. 595, do CC.</w:t>
      </w:r>
    </w:p>
    <w:p>
      <w:pPr>
        <w:spacing w:before="0" w:after="0" w:line="240" w:lineRule="auto"/>
        <w:ind w:firstLine="0" w:left="2268"/>
        <w:jc w:val="both"/>
      </w:pPr>
      <w:r>
        <w:rPr>
          <w:rFonts w:ascii="Times New Roman" w:hAnsi="Times New Roman"/>
          <w:b w:val="0"/>
          <w:color w:val="000000"/>
          <w:sz w:val="20"/>
        </w:rPr>
        <w:t xml:space="preserve">III – No caso, o Banco/Apelado acostou aos autos o contrato, objeto da demanda, no qual se verifica que a manifestação de vontade da Apelante foi realizada por meio de sua assinatura de próprio punho (id. 4408042 – pág. 01/10).</w:t>
      </w:r>
    </w:p>
    <w:p>
      <w:pPr>
        <w:spacing w:before="0" w:after="0" w:line="240" w:lineRule="auto"/>
        <w:ind w:firstLine="0" w:left="2268"/>
        <w:jc w:val="both"/>
      </w:pPr>
      <w:r>
        <w:rPr>
          <w:rFonts w:ascii="Times New Roman" w:hAnsi="Times New Roman"/>
          <w:b w:val="0"/>
          <w:color w:val="000000"/>
          <w:sz w:val="20"/>
        </w:rPr>
        <w:t xml:space="preserve">IV – Compulsando-se os autos, observa-se que os documentos pessoais da Apelante não informam a sua condição de analfabeta, diversamente, consta a assinatura uníssona com as demais constantes em procuração (id. nº 4408035 – pág.</w:t>
      </w:r>
    </w:p>
    <w:p>
      <w:pPr>
        <w:spacing w:before="0" w:after="0" w:line="240" w:lineRule="auto"/>
        <w:ind w:firstLine="0" w:left="2268"/>
        <w:jc w:val="both"/>
      </w:pPr>
      <w:r>
        <w:rPr>
          <w:rFonts w:ascii="Times New Roman" w:hAnsi="Times New Roman"/>
          <w:b w:val="0"/>
          <w:color w:val="000000"/>
          <w:sz w:val="20"/>
        </w:rPr>
        <w:t xml:space="preserve">01) e declaração de residência (id. nº 4408042 – pág. 08), não indicando fraude. Não há nos autos comprovação da condição de analfabetismo da Apelante nos seus documentos pessoais ou qualquer prova de que ela sabe apenas desenhar o seu nome.</w:t>
      </w:r>
    </w:p>
    <w:p>
      <w:pPr>
        <w:spacing w:before="0" w:after="0" w:line="240" w:lineRule="auto"/>
        <w:ind w:firstLine="0" w:left="2268"/>
        <w:jc w:val="both"/>
      </w:pPr>
      <w:r>
        <w:rPr>
          <w:rFonts w:ascii="Times New Roman" w:hAnsi="Times New Roman"/>
          <w:b w:val="0"/>
          <w:color w:val="000000"/>
          <w:sz w:val="20"/>
        </w:rPr>
        <w:t xml:space="preserve">V – Tratando-se de fatos constitutivos, caberia a Apelante fazer prova induvidosa da sua condição de analfabeta, como preceitua o art. 373, I, do CPC, porém, não se desincumbiu do seu ônus probatório.</w:t>
      </w:r>
    </w:p>
    <w:p>
      <w:pPr>
        <w:spacing w:before="0" w:after="0" w:line="240" w:lineRule="auto"/>
        <w:ind w:firstLine="0" w:left="2268"/>
        <w:jc w:val="both"/>
      </w:pPr>
      <w:r>
        <w:rPr>
          <w:rFonts w:ascii="Times New Roman" w:hAnsi="Times New Roman"/>
          <w:b w:val="0"/>
          <w:color w:val="000000"/>
          <w:sz w:val="20"/>
        </w:rPr>
        <w:t xml:space="preserve">VI – A simples alegação de analfabetismo não basta para fundamentar eventual provimento judicial – allegatio et non probatio quase non allegatio</w:t>
      </w:r>
    </w:p>
    <w:p>
      <w:pPr>
        <w:spacing w:before="0" w:after="0" w:line="240" w:lineRule="auto"/>
        <w:ind w:firstLine="0" w:left="2268"/>
        <w:jc w:val="both"/>
      </w:pPr>
      <w:r>
        <w:rPr>
          <w:rFonts w:ascii="Times New Roman" w:hAnsi="Times New Roman"/>
          <w:b w:val="0"/>
          <w:color w:val="000000"/>
          <w:sz w:val="20"/>
        </w:rPr>
        <w:t xml:space="preserve">VII – Recurso conhecido e desprovido.</w:t>
      </w:r>
    </w:p>
    <w:p>
      <w:pPr>
        <w:spacing w:before="0" w:after="0" w:line="240" w:lineRule="auto"/>
        <w:ind w:firstLine="0" w:left="2268"/>
        <w:jc w:val="both"/>
      </w:pPr>
      <w:r>
        <w:rPr>
          <w:rFonts w:ascii="Times New Roman" w:hAnsi="Times New Roman"/>
          <w:b w:val="0"/>
          <w:color w:val="000000"/>
          <w:sz w:val="20"/>
        </w:rPr>
        <w:t xml:space="preserve">(TJPI - APELAÇÃO CÍVEL 0801981-77.2020.8.18.0026 - Relator: RAIMUNDO EUFRASIO ALVES FILHO - 1ª Câmara Especializada Cível - Data 03/04/2023)</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Portanto, em relação à esta questão levantada, não há defeito no negócio jurídico.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III - DISPOSITIVO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Pelo exposto, com fundamento no art. 487, I, do CPC, JULGO IMPROCEDENTES os pedidos deduzidos na inicial. Sem custas, face à gratuidade deferida. Fixo honorários em 10% (dez por cento) do valor da causa, cuja exigibilidade fica suspensa na forma do § 3º do art. 98 do CPC.</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Publique-se. Registre-se. Intimem-se.</w:t>
      </w:r>
    </w:p>
    <w:p>
      <w:pPr>
        <w:spacing w:before="0" w:after="0" w:line="360" w:lineRule="auto"/>
        <w:ind w:firstLine="709" w:left="0"/>
        <w:jc w:val="both"/>
      </w:pPr>
      <w:r>
        <w:rPr>
          <w:rFonts w:ascii="Times New Roman" w:hAnsi="Times New Roman"/>
          <w:b w:val="0"/>
          <w:color w:val="000000"/>
          <w:sz w:val="24"/>
        </w:rPr>
        <w:t xml:space="preserve">Com o trânsito em julgado, arquivem-se os autos com a devida baixa.</w:t>
      </w:r>
    </w:p>
    <w:p>
      <w:pPr>
        <w:spacing w:before="0" w:after="0" w:line="360" w:lineRule="auto"/>
        <w:ind w:firstLine="709" w:left="0"/>
        <w:jc w:val="both"/>
      </w:pPr>
      <w:r>
        <w:rPr>
          <w:rFonts w:ascii="Times New Roman" w:hAnsi="Times New Roman"/>
          <w:b w:val="0"/>
          <w:color w:val="000000"/>
          <w:sz w:val="24"/>
        </w:rPr>
        <w:t xml:space="preserve">Havendo apelação, intime-se a parte contrária para contrarrazões em 15 (quinze) dias e, após, remetam-se os autos ao e. Tribunal de Justiça.</w:t>
      </w:r>
    </w:p>
    <w:p>
      <w:pPr>
        <w:spacing w:before="0" w:after="0" w:line="360" w:lineRule="auto"/>
        <w:ind w:firstLine="0" w:left="0"/>
        <w:jc w:val="left"/>
      </w:pPr>
    </w:p>
    <w:p>
      <w:pPr>
        <w:spacing w:before="0" w:after="0" w:line="360" w:lineRule="auto"/>
        <w:ind w:firstLine="0" w:left="0"/>
        <w:jc w:val="center"/>
      </w:pPr>
      <w:r>
        <w:rPr>
          <w:rFonts w:ascii="Times New Roman" w:hAnsi="Times New Roman"/>
          <w:b w:val="0"/>
          <w:color w:val="000000"/>
          <w:sz w:val="24"/>
        </w:rPr>
        <w:t xml:space="preserve">ITAUEIRA-PI, [[[CONFERIR NOS AUTOS]]].</w:t>
      </w:r>
    </w:p>
    <w:p>
      <w:pPr>
        <w:spacing w:before="0" w:after="0" w:line="360" w:lineRule="auto"/>
        <w:ind w:firstLine="0" w:left="0"/>
        <w:jc w:val="left"/>
      </w:pP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MÁRIO SOARES DE ALENCAR</w:t>
      </w:r>
    </w:p>
    <w:p>
      <w:pPr>
        <w:spacing w:before="0" w:after="0" w:line="360" w:lineRule="auto"/>
        <w:ind w:firstLine="0" w:left="0"/>
        <w:jc w:val="center"/>
      </w:pPr>
      <w:r>
        <w:rPr>
          <w:rFonts w:ascii="Times New Roman" w:hAnsi="Times New Roman"/>
          <w:b w:val="0"/>
          <w:color w:val="000000"/>
          <w:sz w:val="24"/>
        </w:rPr>
        <w:t xml:space="preserve">Juiz de Direito da Vara Única da Comarca de Itaueira</w:t>
      </w:r>
    </w:p>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