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obrigação de fazer c/c danos morais e materiais proposta por MARIA VALDEIZA DE ARAUJO OLIVEIRA,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86654897), em resumo, que sofre, em sua conta de benefício previdenciário, descontos não contratados de tarifa bancária, seguro prestamista e encargos de limite de crédito.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restituição em dobro dos valores descontados, no montante de R$ 8.542,66, e indenização por danos morais no valor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despacho de Id. 93325452, constatou-se que a parte autora foi declarada incapaz no processo de interdição nº 0800715-33.2018.8.18.0056 e ajuizou a demanda em nome próprio, sem representação por curador, determinando-se a regularização da representação processual em 15 (quinze) dias, sob pena de indeferimento da inicial. Intimada (Id. 94019366), a parte autora nada requereu (certidão de Id. 98378786).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incapaz é representado ou assistido em juízo por seu curador, na forma da lei (art. 71 do CPC). A parte autora, declarada incapaz, outorgou procuração em nome próprio, firmada a rogo por terceiro (Id. 86654898, p. 6), e não trouxe o termo de curatela nem a ratificação dos atos por seu curador, embora intimada para tanto, com expressa advertência (Id. 93325452 e 94019366).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Descumprida pelo autor a determinação de sanar a incapacidade processual, o processo será extinto (art. 76, § 1º, I, do CPC), impondo-se o indeferimento da petição inicial (art. 321, parágrafo único, do CPC), por ausência de pressuposto de validade do processo.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76, § 1º, I, e 321, parágrafo único, c/c o art. 485, I e IV, do CPC, INDEFIRO a petição inicial e JULGO EXTINTO o processo, sem resolução do mérito.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Defiro a gratuidade da justiça (art. 99, § 3º, do CPC). Custas pela parte autora, com exigibilidade suspensa (art. 98, § 3º, do CPC). Sem honorários, ante a ausência de contestação. Ciência ao Ministério Público (art. 178, II, do CPC).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