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 - RELATÓRIO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Trata-se de ação de indenização por danos materiais e morais por cobrança indevida de taxas e tarifas proposta por LUIZ CARLOS ARAÚJO COSTA, em face de BANCO BRADESCO S.A., pelos motivos expostos na inicial.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autora alega na inicial (Id. 76677908), em resumo, que sofre, na conta em que recebe seu benefício, débitos de título de capitalização que não contratou (extratos de Ids. 76677912 e 76677914), no valor de R$ 20,00 cada, salvo um de R$ 40,00.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Por isso, requer a nulidade do título de capitalização, a cessação dos descontos, a restituição em dobro e danos morais de R$ 10.000,00.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Citado, o demandado apresentou contestação (Id. 83823473) alegando, em síntese, que o título de capitalização foi livremente pactuado, inexistindo ato ilícito, dano moral ou má-fé, além de arguir preliminares e prescrição. Intimado a comprovar a contratação (Id. 91793701), quedou-se inerte (Id. 97620544).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Em réplica (Id. 85908091), a parte autora alegou que o réu não comprovou a contratação e reiterou os pedidos.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Vieram os autos conclusos.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É o relatório. Fundamento e decido.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 - FUNDAMENTO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Julgamento do processo no estado em que se encontra.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Da análise dos autos, oportuno o julgamento do processo no estado em que se encontra, sendo desnecessária maior dilação probatória, eis que o acervo probatório é suficiente para o deslinde do feito, nos termos do art. 355, I do CPC.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Prescrição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 início, considerando que se aplica ao caso o prazo prescricional de 05 (cinco) anos previsto no art. 27 do CDC, pois se trata de relação de consumo, não reconheço a ocorrência de prescrição da pretensão da parte autora. Devem ser consideradas prescritas todas as parcelas descontadas há mais de 05 (cinco) anos do ajuizamento da demanda.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Descontos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Em síntese, afirma a parte autora que a parte demandada descontou valores de suposto título de capitalização que nunca foi objeto de negócio entre as partes, pelo que pede a declaração de nulidade da contratação do título de capitalização, com a cessação dos descontos, a restituição em dobro dos valores descontados indevidamente e indenização pelos danos morais.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Natureza da relação jurídica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As instituições financeiras e os bancos, como prestadores de serviço especialmente contemplados no artigo 3º, § 2º, da Lei n. 8.078/1990, estão “submetidos às disposições do Código de Defesa do Consumidor” (STJ, 3a Turma, AgREsp 219092, Rel. Min. Nancy Andrighi, unânime, j. 07.12.2000, DJ 05.02.2001). Este entendimento está pacificado e sumulado pelo STJ: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240" w:lineRule="auto"/>
        <w:ind w:firstLine="0" w:left="2268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STJ | Súmula 297</w:t>
      </w:r>
    </w:p>
    <w:p>
      <w:pPr>
        <w:spacing w:before="0" w:after="0" w:line="240" w:lineRule="auto"/>
        <w:ind w:firstLine="0" w:left="2268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O Código de Defesa do Consumidor é aplicável às instituições financeiras.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 caso em tela, as relações entre a parte autora e a parte demandada devem ser reguladas, portanto, pelo Código de Defesa do Consumidor.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Ônus da prova neste caso concreto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efeito, em causas como a debatida, incumbe à parte demandada a prova da existência do legítimo contrato que justifique os descontos do título de capitalização na conta em que a parte autora recebe seu benefício previdenciário, mormente em face da inversão do ônus da prova imposta pela hipossuficiência da demandante (art. 6º, VIII, da Lei n. 8.078/90).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Ademais, deve-se aplicar o princípio da carga dinâmica das provas para atribuir à parte demandada o ônus de demonstrar a existência dos fatos que lhe aproveitam. Ora, deixar ao consumidor o ônus de provar a inexistência de contrato é exigir que se prove fato negativo, somente possível através de elementos indiretos e de efetivação onerosa e complexa, portanto, inviável. Lado outro, à demandada seria por demais simples a prova da legítima contratação com a demandante, bastando apresentar o instrumento do contrato e documentos correlatos.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Nessa ótica, considerado invertido o ônus probandi, deveria o demandado juntar aos autos virtuais o instrumento do contrato que alega legítimo, com a assinatura das partes, e documentos pessoais da demandante.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Da não formalização do negócio jurídico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Nota-se que a parte requerida não juntou aos autos virtuais documentação capaz de comprovar a realização da contratação questionada em juízo, não se desincumbindo do ônus que lhe impõe a atividade probatória nesta seara. 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Por essas constatações, é imperioso considerar os pedidos da inicial até onde são coerentes com o demonstrado na lide e aplicar a legislação de defesa dos consumidores, bem como a legislação civil brasileira.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Ato ilícito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demandada, ao desviar-se do ordenamento jurídico brasileiro, que exige bilateralismo hígido nas relações negociais, cometeu ato ilícito. Portanto, deve a conduta ser tida como cobrança indevida, causadora de evidente dano material. Tal fato, nos termos do art. 42, Parágrafo único, do CDC, impõe a restituição em dobro do indébito, com correção monetária e juros legais.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Danos morais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Do que se encontra comprovado nos autos, considero que a parte demandante também merece amparo no que concerne ao pedido de condenação por danos morais. Realmente, ao proceder aos descontos indevidos e não autorizados no valor do benefício previdenciário da parte autora, a instituição financeira ré produziu danos à dignidade da pessoa, privando-a dos poucos valores de que dispõe para a manutenção de sua vida, já fragilizada pelo decurso inexorável do tempo e pela hipossuficiência econômica.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Os autos atestam, precipuamente, um prejuízo de R$ 220,00 (duzentos e vinte reais), a ser contabilizado em liquidação.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Demonstrada a ilicitude dos descontos na conta em que a parte autora recebe seus proventos, mormente pela juntada de documento, comprovado o dano e o nexo de causalidade, resta apenas quantificar o valor da indenização.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Questão das mais tormentosas na doutrina, por falta de balizas legais seguras, o valor da indenização por dano moral deve ser fixado em montante razoável que, de um lado, promova um conforto ao lesado capaz de compensar a dor moral sofrida e, de outro, imprima sanção ao causador do dano, como desestímulo à prática de outras condutas danosas.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 presente caso, assiste direito à parte autora de obter indenização pelo dano moral sofrido, entretanto, o valor deve ser fixado com observância da razoabilidade, sob pena de ser insignificante, se muito baixo, ou de causar enriquecimento ilícito, se por demais elevado.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Tenho por significativa a extensão do dano moral sofrido pela autora no caso em comento, em face do constante nos autos, mormente pelo tempo decorrido desde o início dos descontos indevidos.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Considerando as peculiaridades do caso, com foco no valor dos descontos indevidos, na repercussão da ofensa e na posição social da parte autora, tenho como razoável a condenação do réu a pagar o valor de R$ 3.000,00 (três mil reais) a título de indenização por danos morais, quantia que entendo suficiente para satisfazer a reparação da lesão experimentada pela parte autora e para coibir a prática de outras condutas ilícitas semelhantes pela parte ré, sem se tornar fonte de enriquecimento ilícito.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III - DISPOSITIVO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Pelo exposto, com fundamento nos arts. 186 e 927 do CC, nos arts. 6º, VIII, e 14 do CDC, c/c o art. 487, I, do CPC, JULGO PROCEDENTES os pedidos para declarar inexistente a relação jurídica quanto ao contrato de título de capitalização e inexigível o débito dela decorrente, e condenar a parte demandada a restituir em dobro os valores debitados da conta da parte autora, cessando de imediato os descontos e cancelando o contrato.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Condeno, ainda, a parte demandada ao pagamento de indenização por danos morais no valor de R$ 3.000,00 (três mil reais).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Sobre a indenização por danos morais incidem correção monetária pelo IPCA desde o arbitramento (Súmula 362 do STJ) e juros de mora pela taxa legal (art. 406, § 1º, do CC) desde o evento danoso (Súmula 54 do STJ).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Considerando o prazo prescricional de 05 (cinco) anos do art. 27 do CDC, a restituição alcança apenas as parcelas não prescritas.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O valor da restituição será acrescido de juros de mora pela taxa legal (art. 406, § 1º, do CC) desde a citação e de correção monetária pelo IPCA desde cada débito (art. 389, parágrafo único, do CC).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Custas pela parte demandada. Fixo honorários em 10% (dez por cento) sobre o valor da condenação.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Publique-se. Registre-se. Intimem-se.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o trânsito em julgado, cumprida a sentença, arquivem-se os autos com a devida baixa.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Havendo apelação, intime-se a parte contrária para contrarrazões em 15 (quinze) dias e, após, remetam-se os autos ao e. Tribunal de Justiça.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ITAUEIRA-PI, [[[CONFERIR NOS AUTOS]]].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MÁRIO SOARES DE ALENCAR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Juiz de Direito da Vara Única da Comarca de Itaueira</w:t>
      </w:r>
    </w:p>
    <w:sectPr w:rsidR="00501E67" w:rsidRPr="00962DA5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3251272">
    <w:abstractNumId w:val="8"/>
  </w:num>
  <w:num w:numId="2" w16cid:durableId="544026023">
    <w:abstractNumId w:val="6"/>
  </w:num>
  <w:num w:numId="3" w16cid:durableId="1827549059">
    <w:abstractNumId w:val="5"/>
  </w:num>
  <w:num w:numId="4" w16cid:durableId="1557549311">
    <w:abstractNumId w:val="4"/>
  </w:num>
  <w:num w:numId="5" w16cid:durableId="1736079893">
    <w:abstractNumId w:val="7"/>
  </w:num>
  <w:num w:numId="6" w16cid:durableId="1856797632">
    <w:abstractNumId w:val="3"/>
  </w:num>
  <w:num w:numId="7" w16cid:durableId="1191410845">
    <w:abstractNumId w:val="2"/>
  </w:num>
  <w:num w:numId="8" w16cid:durableId="1645045771">
    <w:abstractNumId w:val="1"/>
  </w:num>
  <w:num w:numId="9" w16cid:durableId="954482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807"/>
    <w:rsid w:val="000E13A7"/>
    <w:rsid w:val="0015074B"/>
    <w:rsid w:val="00177019"/>
    <w:rsid w:val="001C5E1C"/>
    <w:rsid w:val="00222D07"/>
    <w:rsid w:val="0029639D"/>
    <w:rsid w:val="002C5F69"/>
    <w:rsid w:val="00326F90"/>
    <w:rsid w:val="00357D41"/>
    <w:rsid w:val="00366D3B"/>
    <w:rsid w:val="0038504E"/>
    <w:rsid w:val="004128E3"/>
    <w:rsid w:val="004F5898"/>
    <w:rsid w:val="00501E67"/>
    <w:rsid w:val="005936A3"/>
    <w:rsid w:val="007B3895"/>
    <w:rsid w:val="0088262D"/>
    <w:rsid w:val="00962DA5"/>
    <w:rsid w:val="009E5681"/>
    <w:rsid w:val="00A64828"/>
    <w:rsid w:val="00AA1D8D"/>
    <w:rsid w:val="00B47730"/>
    <w:rsid w:val="00CB0664"/>
    <w:rsid w:val="00D4121B"/>
    <w:rsid w:val="00DD28B7"/>
    <w:rsid w:val="00EF6624"/>
    <w:rsid w:val="00F26EB3"/>
    <w:rsid w:val="00F848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A5D5482-E9AA-426E-8095-E6FD7F056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807"/>
    <w:pPr>
      <w:spacing w:after="0"/>
    </w:pPr>
    <w:rPr>
      <w:rFonts w:ascii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5930</Words>
  <Characters>32028</Characters>
  <Application>Microsoft Office Word</Application>
  <DocSecurity>0</DocSecurity>
  <Lines>266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Óstenes Fernandes da Silva</cp:lastModifiedBy>
  <cp:revision>18</cp:revision>
  <dcterms:created xsi:type="dcterms:W3CDTF">2013-12-23T23:15:00Z</dcterms:created>
  <dcterms:modified xsi:type="dcterms:W3CDTF">2026-09-30T15:09:00Z</dcterms:modified>
  <cp:category/>
</cp:coreProperties>
</file>