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 - RELATÓRIO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Trata-se de ação de obrigação de fazer c/c indenização por danos morais e materiais proposta por FLORISMAR MARREIROS DA SILVA, em face de BANCO BRADESCO S.A., pelos motivos expostos na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alega na inicial (Id. 70231310), em resumo, que sofre, sem ter contratado, débitos da tarifa “CESTA B.EXPRESSO1” na conta em que recebe seu benefício previdenciário, desde 30/01/2020, no valor de R$ 2.490,59 (Id. 70231316).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isso, requer a conversão da conta em conta benefício ou a cessação dos descontos, a restituição em dobro e indenização por danos morais.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Citado, o demandado apresentou contestação (Id. 85161639) alegando, em síntese, que a cesta foi contratada e usufruída, com uso de serviços além dos essenciais; arguiu preliminares, prescrição e abuso do direito de demandar, formulou pedido contraposto e negou o dano moral e a dobra.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réplica (Id. 85241780), a parte autora alegou que o réu não juntou o contrato e que é analfabeta.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Intimado a comprovar a contratação da cesta (Id. 94365979), o réu declarou não ter outras provas a produzir (Id. 98524079).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Vieram os autos conclusos.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É o relatório. Fundamento e decido.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 - FUNDAMENTO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Julgamento do processo no estado em que se encontra.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Da análise dos autos, oportuno o julgamento do processo no estado em que se encontra, sendo desnecessária maior dilação probatória, eis que o acervo probatório é suficiente para o deslinde do feito, nos termos do art. 355, I do CPC. Registre-se que o próprio réu, instado a produzir a prova documental da contratação, requereu o julgamento antecipado (Id. 98524079).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Segredo de justiça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réu pede a tramitação do feito em segredo de justiça por ter juntado extratos da conta da parte autora. A publicidade dos atos processuais é a regra (art. 93, IX, da Constituição Federal e art. 189 do CPC), e o sigilo das informações bancárias (Lei Complementar n. 105/2001) resguarda-se suficientemente com a restrição de acesso ao próprio documento. Indefiro, pois, o segredo de justiça do processo e determino a anotação de sigilo no documento de Id. 85161640.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Interesse de agir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Rejeito a preliminar de falta de interesse de agir. O acesso ao Poder Judiciário independe de prévio requerimento administrativo (art. 5º, XXXV, da Constituição Federal), ressalvadas hipóteses legais específicas, entre as quais não se inclui a presente. Ademais, a própria contestação, ao sustentar a regularidade das cobranças, evidencia a resistência à pretensão.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Prescrição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 início, considerando que se aplica ao caso o prazo prescricional de 05 (cinco) anos previsto no art. 27 do CDC, pois se trata de relação de consumo, não reconheço a ocorrência de prescrição da pretensão da parte autora. Devem ser consideradas prescritas todas as parcelas descontadas há mais de 05 (cinco) anos do ajuizamento da demanda.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Ajuizada a ação em 04/02/2025 (Id. 70231310), estão prescritas as parcelas debitadas antes de 04/02/2020. Não prospera a tese de que toda a pretensão estaria fulminada, pois os débitos se renovam mês a mês, em relação de trato sucessivo, nem a de incidência do prazo trienal do art. 206, § 3º, IV, do Código Civil, afastado pela regra especial do art. 27 do CDC.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Descontos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síntese, afirma a parte autora que a parte demandada debitou, de sua conta, valores de suposta tarifa bancária denominada “CESTA B.EXPRESSO1”, que nunca foi objeto de negócio entre as partes, pelo que pede a cessação das cobranças, a restituição em dobro dos valores descontados indevidamente e indenização pelos danos morais.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Embora a inicial não formule pedido declaratório autônomo, a inexistência da relação jurídica é pressuposto lógico da cessação das cobranças e da repetição do indébito pretendidas, e assim deve ser compreendida a postulação em seu conjunto (art. 322, § 2º, do CPC).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Natureza da relação jurídica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 instituições financeiras e os bancos, como prestadores de serviço especialmente contemplados no artigo 3º, § 2º, da Lei n. 8.078/1990, estão “submetidos às disposições do Código de Defesa do Consumidor” (STJ, 3a Turma, AgREsp 219092, Rel. Min. Nancy Andrighi, unânime, j. 07.12.2000, DJ 05.02.2001). Este entendimento está pacificado e sumulado pelo STJ: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STJ | Súmula 297</w:t>
      </w: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O Código de Defesa do Consumidor é aplicável às instituições financeiras.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caso em tela, as relações entre a parte autora e a parte demandada devem ser reguladas, portanto, pelo Código de Defesa do Consumidor.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Ônus da prova neste caso concreto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efeito, em causas como a debatida, incumbe à parte demandada a prova da existência do legítimo contrato que justifique os débitos da tarifa na conta em que a parte autora recebe seu benefício previdenciário, mormente em face da inversão do ônus da prova imposta pela hipossuficiência da demandante (art. 6º, VIII, da Lei n. 8.078/90).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Ademais, deve-se aplicar o princípio da carga dinâmica das provas para atribuir à parte demandada o ônus de demonstrar a existência dos fatos que lhe aproveitam. Ora, deixar ao consumidor o ônus de provar a inexistência de contrato é exigir que se prove fato negativo, somente possível através de elementos indiretos e de efetivação onerosa e complexa, portanto, inviável. Lado outro, à demandada seria por demais simples a prova da legítima contratação com a demandante, bastando apresentar o instrumento do contrato e documentos correlatos.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Nessa ótica, considerado invertido o ônus probandi, deveria o demandado juntar aos autos virtuais o instrumento do contrato específico de adesão ao pacote de serviços “CESTA B.EXPRESSO1” (art. 8º da Resolução CMN n. 3.919/2010), com a assinatura das partes, e os documentos pessoais da demandante.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Nota-se que a parte requerida não juntou aos autos virtuais documentação capaz de comprovar a realização da contratação questionada em juízo, não se desincumbindo do ônus que lhe impõe a atividade probatória nesta seara. Por essas constatações, é imperioso considerar os pedidos da inicial até onde são coerentes com o demonstrado na lide e aplicar a legislação de defesa dos consumidores, bem como a legislação civil brasileira.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Ressalte-se que o réu não trouxe o instrumento com a contestação, como lhe fora determinado no despacho de Id. 81481638, e, novamente intimado para apresentar documento comprobatório da efetiva contratação do pacote (Ids. 94365979 e 95994128), limitou-se a ratificar a defesa (Id. 98524079). A própria contestação admite que “em alguns casos o contrato não foi localizado” (Id. 85161639, p. 2).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 utilização da conta e do comportamento da parte autora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Tampouco socorre o réu a alegação de que a autora utilizou serviços além dos essenciais, notadamente saques acima do limite gratuito, conforme os extratos de Id. 85161640. Nos termos do art. 8º da Resolução CMN n. 3.919/2010, a contratação de pacotes de serviços deve ser realizada mediante contrato específico. O simples uso da conta ou a extrapolação de limites de serviços essenciais não autoriza a migração para pacote tarifado sem anuência expressa (Resolução CMN n. 3.919/2010).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Pela mesma razão, não há falar em venire contra factum proprium nem em violação ao duty to mitigate the loss. O serviço fornecido sem solicitação prévia não gera obrigação de pagamento (art. 39, III e parágrafo único, do CDC), e a demora do consumidor em reclamar não convalida cobrança desprovida de causa, sujeitando-se apenas ao prazo prescricional já reconhecido.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Ato ilícito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demandada, ao desviar-se do ordenamento jurídico brasileiro, que exige bilateralismo hígido nas relações negociais, cometeu ato ilícito. Portanto, deve a conduta ser tida como cobrança indevida, causadora de evidente dano material. Tal fato, nos termos do art. 42, Parágrafo único, do CDC, impõe a restituição em dobro do indébito, com correção monetária e juros legais.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 forma da restituição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Corte Especial do STJ, no julgamento do EAREsp 676.608/RS, firmou a tese de que a restituição em dobro do indébito (parágrafo único do art. 42 do CDC) independe da natureza do elemento volitivo do fornecedor que cobrou valor indevido, revelando-se cabível quando a cobrança indevida consubstanciar conduta contrária à boa-fé objetiva. Na mesma oportunidade, modulou os efeitos da tese, para os contratos de consumo que não envolvam serviços públicos, aos indébitos cobrados após a publicação do acórdão, ocorrida em 30/03/2021.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Assim, acolho em parte o pedido subsidiário do réu: a restituição será em dobro quanto aos débitos efetuados a partir de 30/03/2021 e simples quanto aos anteriores não prescritos, à míngua de prova de má-fé em relação a estes. A restituição abrange, ainda, os débitos lançados no curso do processo (art. 323 do CPC), a exemplo dos registrados no extrato de Id. 85161640 após o ajuizamento.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 obrigação de fazer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pede a conversão de sua conta corrente em conta benefício ou, subsidiariamente, providência que assegure resultado prático equivalente (art. 84 do CDC). A conversão da conta em outra modalidade, todavia, depende de regras próprias e alcançaria contratos de crédito vinculados à conta (Ids. 70231311 e 85161640), não discutidos nestes autos. O resultado prático buscado, que é a cessação das cobranças, é alcançado pelo cancelamento da cesta de serviços, permanecendo a parte autora com os serviços essenciais gratuitos do art. 2º da Resolução CMN n. 3.919/2010. Acolho, pois, o pedido subsidiário.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Pedido contraposto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conheço do pedido de condenação da autora ao pagamento das tarifas avulsas das operações realizadas nos últimos cinco anos. No procedimento comum, a pretensão do réu contra o autor deduz-se por reconvenção (art. 343 do CPC), com os requisitos que lhe são próprios, e o pedido, além disso, é genérico, sem indicação das operações e dos valores, remetidos a planilha a ser apresentada “quando da execução”, em desacordo com o art. 324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Abuso do direito de demandar e litigância de má-fé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Rejeito a alegação. A parte autora exerceu regularmente o direito de ação, e o acolhimento dos pedidos afasta, por si, a tese de aventura jurídica. Quanto ao alegado fracionamento, a certidão de Id. 70235779 aponta outra demanda entre as mesmas partes (processo n. 0800177-08.2025.8.18.0056), mas não há nos autos elemento que demonstre identidade de objeto, e a cobrança da tarifa de cesta de serviços constitui causa de pedir própria. Não se configura, assim, qualquer das hipóteses do art. 80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Danos morais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Do que se encontra comprovado nos autos, considero que a parte demandante também merece amparo no que concerne ao pedido de condenação por danos morais. Realmente, ao proceder aos descontos indevidos e não autorizados no valor do benefício previdenciário da parte autora, a instituição financeira ré produziu danos à dignidade da pessoa idosa (nascida em 22/02/1948, conforme documento de identidade de Id. 70231317), privando-a dos poucos valores de que dispõe para a manutenção de sua vida, já fragilizada pelo decurso inexorável do tempo e pela hipossuficiência econômica.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há como considerar-se mero dissabor ou simples inconveniente na retirada de parte dos valores destinados à manutenção da pessoa idosa, eis que nessa fase da vida as necessidades materiais se multiplicam enquanto a capacidade de resistência física e moral aos agravos sofridos resta sensivelmente diminuída. Tenha-se que a importância de preservar-se o idoso das investidas injustas e de qualquer tipo de negligência foi sentida pelo legislado, que estabeleceu um estatuto próprio para as pessoas dessa faixa etária, visando à sua proteção integral (Lei n. 10.741/2003).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Demonstrada a ilicitude dos débitos da tarifa na conta em que a parte autora recebe seus proventos, mormente pela juntada de documento, comprovado o dano e o nexo de causalidade, resta apenas quantificar o valor da indenização.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Questão das mais tormentosas na doutrina, por falta de balizas legais seguras, o valor da indenização por dano moral deve ser fixado em montante razoável que, de um lado, promova um conforto ao lesado capaz de compensar a dor moral sofrida e, de outro, imprima sanção ao causador do dano, como desestímulo à prática de outras condutas danosas.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presente caso, assiste direito à parte autora de obter indenização pelo dano moral sofrido, entretanto, o valor deve ser fixado com observância da razoabilidade, sob pena de ser insignificante, se muito baixo, ou de causar enriquecimento ilícito, se por demais elevado.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Tenho por significativa a extensão do dano moral sofrido pela autora no caso em comento, em face do constante nos autos, mormente pelo tempo decorrido desde o início dos descontos indevidos.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as peculiaridades do caso, com foco no valor dos descontos indevidos, na repercussão da ofensa e na posição social da parte autora, tenho como razoável a condenação do réu a pagar o valor de R$ 3.000,00 (três mil reais) a título de indenização por danos morais, quantia que entendo suficiente para satisfazer a reparação da lesão experimentada pela parte autora e para coibir a prática de outras condutas ilícitas semelhantes pela parte ré, sem se tornar fonte de enriquecimento ilícito.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Afasto o pedido do réu de fixação dos juros de mora a partir do arbitramento: inexistente relação contratual válida, a responsabilidade é extracontratual, e os juros fluem do evento danoso (art. 398 do CC e 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III - DISPOSITIVO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Pelo exposto, com fundamento nos arts. 186 e 927 do CC, nos arts. 6º, VIII, e 14 do CDC, c/c o art. 487, I, do CPC, JULGO PARCIALMENTE PROCEDENTES os pedidos para declarar inexistente a relação jurídica quanto à tarifa “CESTA B.EXPRESSO1” e inexigível o débito dela decorrente, e condenar a parte demandada a restituir os valores debitados a esse título da conta da parte autora, na forma simples os debitados até 29/03/2021 e em dobro os debitados a partir de 30/03/2021, inclusive os debitados no curso do processo, cessando de imediato as cobranças e cancelando a cesta de serviços, mantidos os serviços essenciais gratuitos do art. 2º da Resolução CMN n. 3.919/2010.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Rejeito a preliminar de falta de interesse de agir, indefiro o segredo de justiça do processo, anotado o sigilo do documento de Id. 85161640, não conheço do pedido contraposto e indefiro o pedido de condenação da parte autora por litigância de má-fé.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Condeno, ainda, a parte demandada ao pagamento de indenização por danos morais no valor de R$ 3.000,00 (três mil reais).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Sobre a indenização por danos morais incidem correção monetária pelo IPCA desde o arbitramento (Súmula 362 do STJ) e juros de mora pela taxa legal (art. 406, § 1º, do CC) desde o evento danoso (Súmula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o prazo prescricional de 05 (cinco) anos do art. 27 do CDC, a restituição alcança apenas as parcelas não prescritas.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valor da restituição será acrescido de juros de mora pela taxa legal (art. 406, § 1º, do CC) desde a citação e de correção monetária pelo IPCA desde cada débito (art. 389, parágrafo único, do CC).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Tendo a parte autora decaído de parte mínima do pedido (art. 86, parágrafo único, do CPC), custas pela parte demandada. Fixo honorários em 10% (dez por cento) sobre o valor da condenação.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Publique-se. Registre-se. Intimem-se.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o trânsito em julgado, cumprida a sentença, arquivem-se os autos com a devida baixa.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Havendo apelação, intime-se a parte contrária para contrarrazões em 15 (quinze) dias e, após, remetam-se os autos ao e. Tribunal de Justiça.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ITAUEIRA-PI, [[[CONFERIR NOS AUTOS]]].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MÁRIO SOARES DE ALENCAR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Juiz de Direito da Vara Única da Comarca de Itaueira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