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 - RELATÓRIO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Trata-se de ação de indenização por danos materiais e morais por cobrança indevida de taxas e tarifas proposta por EUDOCIA PEREIRA DE SOUSA, em face de BANCO BRADESCO S.A., pelos motivos expostos na inicial.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autora alega na inicial (Id. 86944909), em resumo, que é aposentada e idosa e sofre em sua conta descontos mensais da tarifa “CESTA B.EXPRESSO1”, que nunca contratou, no valor de R$ 29,00 a R$ 64,75 (extratos de Id. 86944915 a 86944929).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Por isso, requer a restituição em dobro dos valores descontados e indenização por danos morais de R$ 10.000,00.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Citado, o demandado apresentou contestação (Id. 97489032) alegando, em síntese, que falta interesse de agir, a inicial é inepta, a gratuidade deve ser revogada e há prescrição e decadência; no mérito, que a cesta foi contratada por termo de opção aceito no aplicativo e utilizada, sem má-fé ou dano moral, e formulou pedido contraposto.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réplica (Id. 97593068), a parte autora alegou que o réu não comprovou sua manifestação de vontade e sustentou vício de consentimento e venda casada.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Vieram os autos conclusos.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É o relatório. Fundamento e decido.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 - FUNDAMENTO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Julgamento do processo no estado em que se encontra.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Da análise dos autos, oportuno o julgamento do processo no estado em que se encontra, sendo desnecessária maior dilação probatória, eis que o acervo probatório é suficiente para o deslinde do feito, nos termos do art. 355, I do CPC.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Prescrição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 início, considerando que se aplica ao caso o prazo prescricional de 05 (cinco) anos previsto no art. 27 do CDC, pois se trata de relação de consumo, não reconheço a ocorrência de prescrição da pretensão da parte autora. Devem ser consideradas prescritas todas as parcelas descontadas há mais de 05 (cinco) anos do ajuizamento da demanda.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Descontos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síntese, afirma a parte autora que a parte demandada descontou valores de suposta tarifa bancária “CESTA B.EXPRESSO1” que nunca foi objeto de negócio entre as partes, pelo que pede a restituição em dobro dos valores descontados indevidamente e indenização pelos danos morais.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Natureza da relação jurídica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As instituições financeiras e os bancos, como prestadores de serviço especialmente contemplados no artigo 3º, § 2º, da Lei n. 8.078/1990, estão “submetidos às disposições do Código de Defesa do Consumidor” (STJ, 3a Turma, AgREsp 219092, Rel. Min. Nancy Andrighi, unânime, j. 07.12.2000, DJ 05.02.2001). Este entendimento está pacificado e sumulado pelo STJ: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STJ | Súmula 297</w:t>
      </w: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O Código de Defesa do Consumidor é aplicável às instituições financeiras.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caso em tela, as relações entre a parte autora e a parte demandada devem ser reguladas, portanto, pelo Código de Defesa do Consumidor.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Ônus da prova neste caso concreto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efeito, em causas como a debatida, incumbe à parte demandada a prova da existência do legítimo contrato que justifique os descontos da tarifa de cesta de serviços na conta em que a parte autora recebe seu benefício previdenciário, mormente em face da inversão do ônus da prova imposta pela hipossuficiência da demandante (art. 6º, VIII, da Lei n. 8.078/90).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Ademais, deve-se aplicar o princípio da carga dinâmica das provas para atribuir à parte demandada o ônus de demonstrar a existência dos fatos que lhe aproveitam. Ora, deixar ao consumidor o ônus de provar a inexistência de contrato é exigir que se prove fato negativo, somente possível através de elementos indiretos e de efetivação onerosa e complexa, portanto, inviável. Lado outro, à demandada seria por demais simples a prova da legítima contratação com a demandante, bastando apresentar o instrumento do contrato e documentos correlatos.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Nessa ótica, considerado invertido o ônus probandi, deveria o demandado juntar aos autos virtuais o termo de adesão à cesta de serviços que alega legítimo, com a assinatura da parte autora ou o registro idôneo de sua manifestação de vontade.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Nota-se que a parte requerida não juntou aos autos virtuais documentação capaz de comprovar a realização da contratação questionada em juízo, não se desincumbindo do ônus que lhe impõe a atividade probatória nesta seara. Por essas constatações, é imperioso considerar os pedidos da inicial até onde são coerentes com o demonstrado na lide e aplicar a legislação de defesa dos consumidores, bem como a legislação civil brasileira.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Ato ilícito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demandada, ao desviar-se do ordenamento jurídico brasileiro, que exige bilateralismo hígido nas relações negociais, cometeu ato ilícito. Portanto, deve a conduta ser tida como cobrança indevida, causadora de evidente dano material. Tal fato, nos termos do art. 42, Parágrafo único, do CDC, impõe a restituição em dobro do indébito, com correção monetária e juros legais.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Danos morais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Do que se encontra comprovado nos autos, considero que a parte demandante também merece amparo no que concerne ao pedido de condenação por danos morais. Realmente, ao proceder aos descontos indevidos e não autorizados no valor do benefício previdenciário da parte autora, a instituição financeira ré produziu danos à dignidade da pessoa idosa, privando-a dos poucos valores de que dispõe para a manutenção de sua vida, já fragilizada pelo decurso inexorável do tempo e pela hipossuficiência econômica.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Os autos atestam, precipuamente, um prejuízo de R$ 3.060,15 (três mil e sessenta reais e quinze centavos), a ser contabilizado em liquidação.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Não há como considerar-se mero dissabor ou simples inconveniente na retirada de parte dos valores destinados à manutenção da pessoa idosa, eis que nessa fase da vida as necessidades materiais se multiplicam enquanto a capacidade de resistência física e moral aos agravos sofridos resta sensivelmente diminuída. Tenha-se que a importância de preservar-se o idoso das investidas injustas e de qualquer tipo de negligência foi sentida pelo legislado, que estabeleceu um estatuto próprio para as pessoas dessa faixa etária, visando à sua proteção integral (Lei n. 10.741/2003).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Demonstrada a ilicitude dos descontos da tarifa na conta em que a parte autora recebe seus proventos, mormente pela juntada de documento, comprovado o dano e o nexo de causalidade, resta apenas quantificar o valor da indenização.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Questão das mais tormentosas na doutrina, por falta de balizas legais seguras, o valor da indenização por dano moral deve ser fixado em montante razoável que, de um lado, promova um conforto ao lesado capaz de compensar a dor moral sofrida e, de outro, imprima sanção ao causador do dano, como desestímulo à prática de outras condutas danosas.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presente caso, assiste direito à parte autora de obter indenização pelo dano moral sofrido, entretanto, o valor deve ser fixado com observância da razoabilidade, sob pena de ser insignificante, se muito baixo, ou de causar enriquecimento ilícito, se por demais elevado.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Tenho por significativa a extensão do dano moral sofrido pela autora no caso em comento, em face do constante nos autos, mormente pelo tempo decorrido desde o início dos descontos indevidos.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as peculiaridades do caso, com foco no valor dos descontos indevidos, na repercussão da ofensa e na posição social da parte autora, tenho como razoável a condenação do réu a pagar o valor de R$ 3.000,00 (três mil reais) a título de indenização por danos morais, quantia que entendo suficiente para satisfazer a reparação da lesão experimentada pela parte autora e para coibir a prática de outras condutas ilícitas semelhantes pela parte ré, sem se tornar fonte de enriquecimento ilícito.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III - DISPOSITIVO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Pelo exposto, com fundamento nos arts. 186 e 927 do CC, nos arts. 6º, VIII, e 14 do CDC, c/c o art. 487, I, do CPC, JULGO PROCEDENTES os pedidos para declarar inexistente a relação jurídica quanto à tarifa “CESTA B.EXPRESSO1” e inexigível o débito dela decorrente, e condenar a parte demandada a restituir em dobro os valores debitados da conta da parte autora, cessando de imediato as cobranças e cancelando a cesta de serviços.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Condeno, ainda, a parte demandada ao pagamento de indenização por danos morais no valor de R$ 3.000,00 (três mil reais).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Sobre a indenização por danos morais incidem correção monetária pelo IPCA desde o arbitramento (Súmula 362 do STJ) e juros de mora pela taxa legal (art. 406, § 1º, do CC) desde o evento danoso (Súmula 54 do STJ).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o prazo prescricional de 05 (cinco) anos do art. 27 do CDC, a restituição alcança apenas as parcelas não prescritas.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 valor da restituição será acrescido de juros de mora pela taxa legal (art. 406, § 1º, do CC) desde a citação e de correção monetária pelo IPCA desde cada débito (art. 389, parágrafo único, do CC).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Custas pela parte demandada. Fixo honorários em 10% (dez por cento) sobre o valor da condenação.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Publique-se. Registre-se. Intimem-se.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o trânsito em julgado, cumprida a sentença, arquivem-se os autos com a devida baixa.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Havendo apelação, intime-se a parte contrária para contrarrazões em 15 (quinze) dias e, após, remetam-se os autos ao e. Tribunal de Justiça.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ITAUEIRA-PI, [[[CONFERIR NOS AUTOS]]].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MÁRIO SOARES DE ALENCAR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Juiz de Direito da Vara Única da Comarca de Itaueira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