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jc w:val="center"/>
      </w:pPr>
      <w:r>
        <w:rPr>
          <w:rFonts w:ascii="Times New Roman" w:hAnsi="Times New Roman"/>
          <w:b/>
          <w:color w:val="000000"/>
          <w:sz w:val="24"/>
        </w:rPr>
        <w:t xml:space="preserve">I - RELATÓRIO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Trata-se de ação de obrigação de fazer c/c danos morais e materiais proposta por ANTONIA MENDES DE SOUSA, em face de BANCO BRADESCO S.A., pelos motivos expostos na inicial.</w:t>
      </w:r>
    </w:p>
    <w:p>
      <w:pPr>
        <w:spacing w:before="0" w:after="0" w:line="360" w:lineRule="auto"/>
        <w:ind w:firstLine="709" w:left="0"/>
        <w:jc w:val="both"/>
      </w:pPr>
      <w:r>
        <w:rPr>
          <w:rFonts w:ascii="Times New Roman" w:hAnsi="Times New Roman"/>
          <w:b w:val="0"/>
          <w:color w:val="000000"/>
          <w:sz w:val="24"/>
        </w:rPr>
        <w:t xml:space="preserve">A parte autora alega na inicial (Id. 76812269), em resumo, que sofre, sem contratação, débitos das tarifas “CESTA B.EXPRESSO1” e “PACOTE PRIORITÁRIO” na conta em que recebe seu benefício, desde 04/02/2020, no valor de R$ 4.146,96, atualizado (planilha de Id. 76812896).</w:t>
      </w:r>
    </w:p>
    <w:p>
      <w:pPr>
        <w:spacing w:before="0" w:after="0" w:line="360" w:lineRule="auto"/>
        <w:ind w:firstLine="709" w:left="0"/>
        <w:jc w:val="both"/>
      </w:pPr>
      <w:r>
        <w:rPr>
          <w:rFonts w:ascii="Times New Roman" w:hAnsi="Times New Roman"/>
          <w:b w:val="0"/>
          <w:color w:val="000000"/>
          <w:sz w:val="24"/>
        </w:rPr>
        <w:t xml:space="preserve">Por isso, requer a conversão da conta em conta benefício ou, subsidiariamente, a suspensão dos descontos, a restituição em dobro e indenização por danos morais de R$ 10.000,00.</w:t>
      </w:r>
    </w:p>
    <w:p>
      <w:pPr>
        <w:spacing w:before="0" w:after="0" w:line="360" w:lineRule="auto"/>
        <w:ind w:firstLine="709" w:left="0"/>
        <w:jc w:val="both"/>
      </w:pPr>
      <w:r>
        <w:rPr>
          <w:rFonts w:ascii="Times New Roman" w:hAnsi="Times New Roman"/>
          <w:b w:val="0"/>
          <w:color w:val="000000"/>
          <w:sz w:val="24"/>
        </w:rPr>
        <w:t xml:space="preserve">Citado, o demandado apresentou contestação (Id. 83906278) alegando, em síntese, que incide a prescrição trienal, que a parte autora aderiu eletronicamente ao pacote de serviços (Id. 83906288) e usou serviços não essenciais, inexistindo ato ilícito ou dano moral.</w:t>
      </w:r>
    </w:p>
    <w:p>
      <w:pPr>
        <w:spacing w:before="0" w:after="0" w:line="360" w:lineRule="auto"/>
        <w:ind w:firstLine="709" w:left="0"/>
        <w:jc w:val="both"/>
      </w:pPr>
      <w:r>
        <w:rPr>
          <w:rFonts w:ascii="Times New Roman" w:hAnsi="Times New Roman"/>
          <w:b w:val="0"/>
          <w:color w:val="000000"/>
          <w:sz w:val="24"/>
        </w:rPr>
        <w:t xml:space="preserve">Em réplica (Id. 85239235), a parte autora alegou que é analfabeta e que a contratação por meio digital, sem assinatura a rogo e sem duas testemunhas, é nula.</w:t>
      </w:r>
    </w:p>
    <w:p>
      <w:pPr>
        <w:spacing w:before="0" w:after="0" w:line="360" w:lineRule="auto"/>
        <w:ind w:firstLine="709" w:left="0"/>
        <w:jc w:val="both"/>
      </w:pPr>
      <w:r>
        <w:rPr>
          <w:rFonts w:ascii="Times New Roman" w:hAnsi="Times New Roman"/>
          <w:b w:val="0"/>
          <w:color w:val="000000"/>
          <w:sz w:val="24"/>
        </w:rPr>
        <w:t xml:space="preserve">Vieram os autos conclusos.</w:t>
      </w:r>
    </w:p>
    <w:p>
      <w:pPr>
        <w:spacing w:before="0" w:after="0" w:line="360" w:lineRule="auto"/>
        <w:ind w:firstLine="709" w:left="0"/>
        <w:jc w:val="both"/>
      </w:pPr>
      <w:r>
        <w:rPr>
          <w:rFonts w:ascii="Times New Roman" w:hAnsi="Times New Roman"/>
          <w:b w:val="0"/>
          <w:color w:val="000000"/>
          <w:sz w:val="24"/>
        </w:rPr>
        <w:t xml:space="preserve">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Julgamento do processo no estado em que se encontra.</w:t>
      </w:r>
    </w:p>
    <w:p>
      <w:pPr>
        <w:spacing w:before="0" w:after="0" w:line="360" w:lineRule="auto"/>
        <w:ind w:firstLine="709" w:left="0"/>
        <w:jc w:val="both"/>
      </w:pPr>
      <w:r>
        <w:rPr>
          <w:rFonts w:ascii="Times New Roman" w:hAnsi="Times New Roman"/>
          <w:b w:val="0"/>
          <w:color w:val="000000"/>
          <w:sz w:val="24"/>
        </w:rPr>
        <w:t xml:space="preserve">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Prescrição</w:t>
      </w:r>
    </w:p>
    <w:p>
      <w:pPr>
        <w:spacing w:before="0" w:after="0" w:line="360" w:lineRule="auto"/>
        <w:ind w:firstLine="709" w:left="0"/>
        <w:jc w:val="both"/>
      </w:pPr>
      <w:r>
        <w:rPr>
          <w:rFonts w:ascii="Times New Roman" w:hAnsi="Times New Roman"/>
          <w:b w:val="0"/>
          <w:color w:val="000000"/>
          <w:sz w:val="24"/>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Descontos</w:t>
      </w:r>
    </w:p>
    <w:p>
      <w:pPr>
        <w:spacing w:before="0" w:after="0" w:line="360" w:lineRule="auto"/>
        <w:ind w:firstLine="709" w:left="0"/>
        <w:jc w:val="both"/>
      </w:pPr>
      <w:r>
        <w:rPr>
          <w:rFonts w:ascii="Times New Roman" w:hAnsi="Times New Roman"/>
          <w:b w:val="0"/>
          <w:color w:val="000000"/>
          <w:sz w:val="24"/>
        </w:rPr>
        <w:t xml:space="preserve">Em síntese, afirma a parte autora que a parte demandada descontou valores de supostas tarifas bancárias “CESTA B.EXPRESSO1” e “PACOTE DE SERVICOS PADRONIZADO PRIORITARIOS II” que nunca foram objeto de negócio entre as partes, pelo que pede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Natureza da relação jurídica</w:t>
      </w:r>
    </w:p>
    <w:p>
      <w:pPr>
        <w:spacing w:before="0" w:after="0" w:line="360" w:lineRule="auto"/>
        <w:ind w:firstLine="709" w:left="0"/>
        <w:jc w:val="both"/>
      </w:pPr>
      <w:r>
        <w:rPr>
          <w:rFonts w:ascii="Times New Roman" w:hAnsi="Times New Roman"/>
          <w:b w:val="0"/>
          <w:color w:val="000000"/>
          <w:sz w:val="24"/>
        </w:rPr>
        <w:t xml:space="preserve">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STJ | Súmula 297</w:t>
      </w:r>
    </w:p>
    <w:p>
      <w:pPr>
        <w:spacing w:before="0" w:after="0" w:line="240" w:lineRule="auto"/>
        <w:ind w:firstLine="0" w:left="2268"/>
        <w:jc w:val="both"/>
      </w:pPr>
      <w:r>
        <w:rPr>
          <w:rFonts w:ascii="Times New Roman" w:hAnsi="Times New Roman"/>
          <w:b w:val="0"/>
          <w:color w:val="000000"/>
          <w:sz w:val="20"/>
        </w:rPr>
        <w:t xml:space="preserve">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No caso em tela, as relações entre a parte autora e a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Ônus da prova neste caso concreto</w:t>
      </w:r>
    </w:p>
    <w:p>
      <w:pPr>
        <w:spacing w:before="0" w:after="0" w:line="360" w:lineRule="auto"/>
        <w:ind w:firstLine="709" w:left="0"/>
        <w:jc w:val="both"/>
      </w:pPr>
      <w:r>
        <w:rPr>
          <w:rFonts w:ascii="Times New Roman" w:hAnsi="Times New Roman"/>
          <w:b w:val="0"/>
          <w:color w:val="000000"/>
          <w:sz w:val="24"/>
        </w:rPr>
        <w:t xml:space="preserve">Com efeito, em causas como a debatida, incumbe à parte demandada a prova da existência do legítimo contrato que justifique os débitos das tarifas “CESTA B.EXPRESSO1” e “PACOTE DE SERVICOS PADRONIZADO PRIORITARIOS II” na conta em que a parte autora recebe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 xml:space="preserve">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 xml:space="preserve">Nessa ótica, considerado invertido o ônus probandi, deveria o demandado juntar aos autos virtuais o instrumento do contrato que alega legítimo, com a assinatura das partes e documentos pessoais da demandante.</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 documento de identidade (Id. 76812284, pág. 3), que traz a anotação “Não Alfabetizado”,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Ato ilícito</w:t>
      </w:r>
    </w:p>
    <w:p>
      <w:pPr>
        <w:spacing w:before="0" w:after="0" w:line="360" w:lineRule="auto"/>
        <w:ind w:firstLine="709" w:left="0"/>
        <w:jc w:val="both"/>
      </w:pPr>
      <w:r>
        <w:rPr>
          <w:rFonts w:ascii="Times New Roman" w:hAnsi="Times New Roman"/>
          <w:b w:val="0"/>
          <w:color w:val="000000"/>
          <w:sz w:val="24"/>
        </w:rPr>
        <w:t xml:space="preserve">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709" w:left="0"/>
        <w:jc w:val="both"/>
      </w:pPr>
      <w:r>
        <w:rPr>
          <w:rFonts w:ascii="Times New Roman" w:hAnsi="Times New Roman"/>
          <w:b w:val="0"/>
          <w:color w:val="000000"/>
          <w:sz w:val="24"/>
        </w:rPr>
        <w:t xml:space="preserve">Os autos atestam, precipuamente, um prejuízo de R$ 2.363,80 (dois mil, trezentos e sessenta e três reais e oitenta centavos), a ser contabilizado em liquidação.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III - DISPOSITIVO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PROCEDENTES os pedidos para declarar a nulidade do contrato de cesta de serviços que ampara as tarifas “CESTA B.EXPRESSO1” e “PACOTE DE SERVICOS PADRONIZADO PRIORITARIOS II”, inclusive o Termo de Opção nº 0249084370 (Id. 83906288), e inexigível o débito dele decorrente, condenar a parte demandada a restituir em dobro os valores descontados do benefício da parte autora, cessando de imediato os descontos,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 xml:space="preserve">O valor da restituição será acrescido de juros de mora pela taxa legal (art. 406, § 1º, do CC) desde a citação e de correção monetária pelo IPCA desde cada desconto (art. 389, parágrafo único, do CC).</w:t>
      </w:r>
    </w:p>
    <w:p>
      <w:pPr>
        <w:spacing w:before="0" w:after="0" w:line="360" w:lineRule="auto"/>
        <w:ind w:firstLine="709" w:left="0"/>
        <w:jc w:val="both"/>
      </w:pPr>
      <w:r>
        <w:rPr>
          <w:rFonts w:ascii="Times New Roman" w:hAnsi="Times New Roman"/>
          <w:b w:val="0"/>
          <w:color w:val="000000"/>
          <w:sz w:val="24"/>
        </w:rPr>
        <w:t xml:space="preserve">Custas pela parte demandada. Fixo honorários em 10% (dez por cento) sobre o valor da condenação.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Publique-se. Registre-se. Intimem-se.</w:t>
      </w:r>
    </w:p>
    <w:p>
      <w:pPr>
        <w:spacing w:before="0" w:after="0" w:line="360" w:lineRule="auto"/>
        <w:ind w:firstLine="709" w:left="0"/>
        <w:jc w:val="both"/>
      </w:pPr>
      <w:r>
        <w:rPr>
          <w:rFonts w:ascii="Times New Roman" w:hAnsi="Times New Roman"/>
          <w:b w:val="0"/>
          <w:color w:val="000000"/>
          <w:sz w:val="24"/>
        </w:rPr>
        <w:t xml:space="preserve">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 xml:space="preserve">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 xml:space="preserve">ITAUEIRA-PI, [[[CONFERIR NOS AUTOS]]].</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MÁRIO SOARES DE ALENCAR</w:t>
      </w:r>
    </w:p>
    <w:p>
      <w:pPr>
        <w:spacing w:before="0" w:after="0" w:line="360" w:lineRule="auto"/>
        <w:ind w:firstLine="0" w:left="0"/>
        <w:jc w:val="center"/>
      </w:pPr>
      <w:r>
        <w:rPr>
          <w:rFonts w:ascii="Times New Roman" w:hAnsi="Times New Roman"/>
          <w:b w:val="0"/>
          <w:color w:val="000000"/>
          <w:sz w:val="24"/>
        </w:rPr>
        <w:t xml:space="preserve">Juiz de Direito da Vara Única da Comarca de Itaueira</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