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/>
          <w:color w:val="000000"/>
          <w:sz w:val="24"/>
        </w:rPr>
        <w:t xml:space="preserve">I - RELATÓRIO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Trata-se de ação de indenização por danos materiais e morais por cobrança indevida de taxas e tarifas proposta por LUIZ MATIAS DOS SANTOS, em face de BANCO BRADESCO S.A., pelos motivos expostos na inicial.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A parte autora alega na inicial (Id. 88027559), em resumo, que é aposentada e sofre, na conta em que recebe seu benefício, débitos mensais não contratados da tarifa “CESTA B.EXPRESSO1” desde janeiro de 2020 (extratos de Ids. 88027569 a 88027575), no valor de R$ 29,00 a R$ 64,75 por mês.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Por isso, requer a restituição em dobro dos valores descontados e indenização por danos morais no valor de R$ 10.000,00.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Citado, o demandado apresentou contestação (Id. 97272187) alegando, em síntese, preliminares processuais, decadência e prescrição e, no mérito, que a cesta foi regularmente contratada e utilizada pela parte autora, inexistindo ato ilícito, dano moral ou dever de restituição em dobro.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Em réplica (Id. 97367862), a parte autora alegou que o réu não comprovou a contratação e reiterou os pedidos iniciais.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Vieram os autos conclusos.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É o relatório. Fundamento e decido.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/>
          <w:color w:val="000000"/>
          <w:sz w:val="24"/>
        </w:rPr>
        <w:t xml:space="preserve">II - FUNDAMENTO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Julgamento do processo no estado em que se encontra.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Da análise dos autos, oportuno o julgamento do processo no estado em que se encontra, sendo desnecessária maior dilação probatória, eis que o acervo probatório é suficiente para o deslinde do feito, nos termos do art. 355, I do CPC.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Prescrição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De início, considerando que se aplica ao caso o prazo prescricional de 05 (cinco) anos previsto no art. 27 do CDC, pois se trata de relação de consumo, não reconheço a ocorrência de prescrição da pretensão da parte autora. Devem ser consideradas prescritas todas as parcelas descontadas há mais de 05 (cinco) anos do ajuizamento da demanda.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Descontos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Em síntese, afirma a parte autora que a parte demandada descontou valores de suposta tarifa bancária “CESTA B.EXPRESSO1” que nunca foi objeto de negócio entre as partes, pelo que pede a restituição em dobro dos valores descontados indevidamente e indenização pelos danos morais.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Natureza da relação jurídica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As instituições financeiras e os bancos, como prestadores de serviço especialmente contemplados no artigo 3º, § 2º, da Lei n. 8.078/1990, estão “submetidos às disposições do Código de Defesa do Consumidor” (STJ, 3a Turma, AgREsp 219092, Rel. Min. Nancy Andrighi, unânime, j. 07.12.2000, DJ 05.02.2001). Este entendimento está pacificado e sumulado pelo STJ: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240" w:lineRule="auto"/>
        <w:ind w:firstLine="0" w:left="2268"/>
        <w:jc w:val="both"/>
      </w:pPr>
      <w:r>
        <w:rPr>
          <w:rFonts w:ascii="Times New Roman" w:hAnsi="Times New Roman"/>
          <w:b w:val="0"/>
          <w:color w:val="000000"/>
          <w:sz w:val="20"/>
        </w:rPr>
        <w:t xml:space="preserve">STJ | Súmula 297</w:t>
      </w:r>
    </w:p>
    <w:p>
      <w:pPr>
        <w:spacing w:before="0" w:after="0" w:line="240" w:lineRule="auto"/>
        <w:ind w:firstLine="0" w:left="2268"/>
        <w:jc w:val="both"/>
      </w:pPr>
      <w:r>
        <w:rPr>
          <w:rFonts w:ascii="Times New Roman" w:hAnsi="Times New Roman"/>
          <w:b w:val="0"/>
          <w:color w:val="000000"/>
          <w:sz w:val="20"/>
        </w:rPr>
        <w:t xml:space="preserve">O Código de Defesa do Consumidor é aplicável às instituições financeiras.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No caso em tela, as relações entre a parte autora e a parte demandada devem ser reguladas, portanto, pelo Código de Defesa do Consumidor.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Ônus da prova neste caso concreto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Com efeito, em causas como a debatida, incumbe à parte demandada a prova da existência do legítimo contrato que justifique os débitos da tarifa “CESTA B.EXPRESSO1” na conta em que a parte autora recebe seu benefício previdenciário, mormente em face da inversão do ônus da prova imposta pela hipossuficiência da demandante (art. 6º, VIII, da Lei n. 8.078/90).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Ademais, deve-se aplicar o princípio da carga dinâmica das provas para atribuir à parte demandada o ônus de demonstrar a existência dos fatos que lhe aproveitam. Ora, deixar ao consumidor o ônus de provar a inexistência de contrato é exigir que se prove fato negativo, somente possível através de elementos indiretos e de efetivação onerosa e complexa, portanto, inviável. Lado outro, à demandada seria por demais simples a prova da legítima contratação com a demandante, bastando apresentar o instrumento do contrato e documentos correlatos.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Nessa ótica, considerado invertido o ônus probandi, deveria o demandado juntar aos autos virtuais o instrumento do contrato que alega legítimo, com a assinatura das partes, e documentos pessoais da demandante.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Nota-se que a parte requerida não juntou aos autos virtuais documentação capaz de comprovar a realização da contratação questionada em juízo, não se desincumbindo do ônus que lhe impõe a atividade probatória nesta seara. Por essas constatações, é imperioso considerar os pedidos da inicial até onde são coerentes com o demonstrado na lide e aplicar a legislação de defesa dos consumidores, bem como a legislação civil brasileira.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Ato ilícito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A parte demandada, ao desviar-se do ordenamento jurídico brasileiro, que exige bilateralismo hígido nas relações negociais, cometeu ato ilícito. Portanto, deve a conduta ser tida como cobrança indevida, causadora de evidente dano material. Tal fato, nos termos do art. 42, Parágrafo único, do CDC, impõe a restituição em dobro do indébito, com correção monetária e juros legais.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Danos morais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Do que se encontra comprovado nos autos, considero que a parte demandante também merece amparo no que concerne ao pedido de condenação por danos morais. Realmente, ao proceder aos descontos indevidos e não autorizados no valor do benefício previdenciário da parte autora, a instituição financeira ré produziu danos à dignidade da pessoa idosa, privando-a dos poucos valores de que dispõe para a manutenção de sua vida, já fragilizada pelo decurso inexorável do tempo e pela hipossuficiência econômica.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Os autos atestam, precipuamente, um prejuízo de R$ 3.060,15 (três mil e sessenta reais e quinze centavos), a ser contabilizado em liquidação.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Não há como considerar-se mero dissabor ou simples inconveniente na retirada de parte dos valores destinados à manutenção da pessoa idosa, eis que nessa fase da vida as necessidades materiais se multiplicam enquanto a capacidade de resistência física e moral aos agravos sofridos resta sensivelmente diminuída. Tenha-se que a importância de preservar-se o idoso das investidas injustas e de qualquer tipo de negligência foi sentida pelo legislado, que estabeleceu um estatuto próprio para as pessoas dessa faixa etária, visando à sua proteção integral (Lei n. 10.741/2003).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Demonstrada a ilicitude dos descontos nos proventos da parte autora, mormente pela juntada de documento, comprovado o dano e o nexo de causalidade, resta apenas quantificar o valor da indenização.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Questão das mais tormentosas na doutrina, por falta de balizas legais seguras, o valor da indenização por dano moral deve ser fixado em montante razoável que, de um lado, promova um conforto ao lesado capaz de compensar a dor moral sofrida e, de outro, imprima sanção ao causador do dano, como desestímulo à prática de outras condutas danosas.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No presente caso, assiste direito à parte autora de obter indenização pelo dano moral sofrido, entretanto, o valor deve ser fixado com observância da razoabilidade, sob pena de ser insignificante, se muito baixo, ou de causar enriquecimento ilícito, se por demais elevado.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Tenho por significativa a extensão do dano moral sofrido pela autora no caso em comento, em face do constante nos autos, mormente pelo tempo decorrido desde o início dos descontos indevidos.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Considerando as peculiaridades do caso, com foco no valor dos descontos indevidos, na repercussão da ofensa e na posição social da parte autora, tenho como razoável a condenação do réu a pagar o valor de R$ 3.000,00 (três mil reais) a título de indenização por danos morais, quantia que entendo suficiente para satisfazer a reparação da lesão experimentada pela parte autora e para coibir a prática de outras condutas ilícitas semelhantes pela parte ré, sem se tornar fonte de enriquecimento ilícito.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/>
          <w:color w:val="000000"/>
          <w:sz w:val="24"/>
        </w:rPr>
        <w:t xml:space="preserve">III - DISPOSITIVO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Pelo exposto, com fundamento nos arts. 186 e 927 do CC, nos arts. 6º, VIII, e 14 do CDC, c/c o art. 487, I, do CPC, JULGO PROCEDENTES os pedidos para declarar inexistente a relação jurídica quanto à tarifa “CESTA B.EXPRESSO1” e inexigível o débito dela decorrente, e condenar a parte demandada a restituir em dobro os valores debitados da conta da parte autora, cessando de imediato as cobranças e cancelando a cesta de serviços.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Condeno, ainda, a parte demandada ao pagamento de indenização por danos morais no valor de R$ 3.000,00 (três mil reais).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Sobre a indenização por danos morais incidem correção monetária pelo IPCA desde o arbitramento (Súmula 362 do STJ) e juros de mora pela taxa legal (art. 406, § 1º, do CC) desde o evento danoso (Súmula 54 do STJ).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Considerando o prazo prescricional de 05 (cinco) anos do art. 27 do CDC, a restituição alcança apenas as parcelas não prescritas.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O valor da restituição será acrescido de juros de mora pela taxa legal (art. 406, § 1º, do CC) desde a citação e de correção monetária pelo IPCA desde cada débito (art. 389, parágrafo único, do CC).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Custas pela parte demandada. Fixo honorários em 10% (dez por cento) sobre o valor da condenação.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Publique-se. Registre-se. Intimem-se.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Com o trânsito em julgado, cumprida a sentença, arquivem-se os autos com a devida baixa.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Havendo apelação, intime-se a parte contrária para contrarrazões em 15 (quinze) dias e, após, remetam-se os autos ao e. Tribunal de Justiça.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 w:val="0"/>
          <w:color w:val="000000"/>
          <w:sz w:val="24"/>
        </w:rPr>
        <w:t xml:space="preserve">ITAUEIRA-PI, [[[CONFERIR NOS AUTOS]]].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/>
          <w:color w:val="000000"/>
          <w:sz w:val="24"/>
        </w:rPr>
        <w:t xml:space="preserve">MÁRIO SOARES DE ALENCAR</w:t>
      </w: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 w:val="0"/>
          <w:color w:val="000000"/>
          <w:sz w:val="24"/>
        </w:rPr>
        <w:t xml:space="preserve">Juiz de Direito da Vara Única da Comarca de Itaueira</w:t>
      </w:r>
    </w:p>
    <w:sectPr w:rsidR="00FC693F" w:rsidRPr="0006063C" w:rsidSect="00034616"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