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/>
          <w:b/>
          <w:color w:val="000000"/>
          <w:sz w:val="24"/>
        </w:rPr>
        <w:t xml:space="preserve">I - RELATÓRIO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Trata-se de ação de indenização por danos materiais e morais por cobrança indevida de taxas e tarifas proposta por LUIS GOMES DA SILVA, em face de BANCO BRADESCO S.A., pelos motivos expostos na inicial.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A parte autora alega na inicial (Id. 88044378), em resumo, que é idosa e analfabeta e sofre, na conta em que recebe seu benefício previdenciário, débitos mensais não contratados da tarifa “CESTA B.EXPRESSO1”, no valor de R$ 29,00 a R$ 64,75 (extratos de Ids. 88044385 a 88045003).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Por isso, requer a restituição em dobro dos valores descontados e indenização por danos morais de R$ 10.000,00.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Citado, o demandado apresentou contestação (Id. 97114098) alegando, em síntese, que a pretensão está prescrita e que a cesta foi contratada na abertura da conta e utilizada além dos serviços essenciais, sem ato ilícito, má-fé ou dano moral, com pedido contraposto de pagamento das tarifas avulsas.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Em réplica (Id. 97122305), a parte autora alegou que o réu não provou a contratação e que houve vício de consentimento e venda casada.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Vieram os autos conclusos.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É o relatório. Fundamento e decido.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/>
          <w:b/>
          <w:color w:val="000000"/>
          <w:sz w:val="24"/>
        </w:rPr>
        <w:t xml:space="preserve">II - FUNDAMENTO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Julgamento do processo no estado em que se encontra.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Da análise dos autos, oportuno o julgamento do processo no estado em que se encontra, sendo desnecessária maior dilação probatória, eis que o acervo probatório é suficiente para o deslinde do feito, nos termos do art. 355, I do CPC.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Prescrição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De início, considerando que se aplica ao caso o prazo prescricional de 05 (cinco) anos previsto no art. 27 do CDC, pois se trata de relação de consumo, não reconheço a ocorrência de prescrição da pretensão da parte autora. Devem ser consideradas prescritas todas as parcelas descontadas há mais de 05 (cinco) anos do ajuizamento da demanda.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Descontos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Em síntese, afirma a parte autora que a parte demandada descontou valores de suposta tarifa bancária “CESTA B.EXPRESSO1” que nunca foi objeto de negócio entre as partes, pelo que pede a restituição em dobro dos valores descontados indevidamente e indenização pelos danos morais.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Natureza da relação jurídica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As instituições financeiras e os bancos, como prestadores de serviço especialmente contemplados no artigo 3º, § 2º, da Lei n. 8.078/1990, estão “submetidos às disposições do Código de Defesa do Consumidor” (STJ, 3a Turma, AgREsp 219092, Rel. Min. Nancy Andrighi, unânime, j. 07.12.2000, DJ 05.02.2001). Este entendimento está pacificado e sumulado pelo STJ: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240" w:lineRule="auto"/>
        <w:ind w:firstLine="0" w:left="2268"/>
        <w:jc w:val="both"/>
      </w:pPr>
      <w:r>
        <w:rPr>
          <w:rFonts w:ascii="Times New Roman" w:hAnsi="Times New Roman"/>
          <w:b w:val="0"/>
          <w:color w:val="000000"/>
          <w:sz w:val="20"/>
        </w:rPr>
        <w:t xml:space="preserve">STJ | Súmula 297</w:t>
      </w:r>
    </w:p>
    <w:p>
      <w:pPr>
        <w:spacing w:before="0" w:after="0" w:line="240" w:lineRule="auto"/>
        <w:ind w:firstLine="0" w:left="2268"/>
        <w:jc w:val="both"/>
      </w:pPr>
      <w:r>
        <w:rPr>
          <w:rFonts w:ascii="Times New Roman" w:hAnsi="Times New Roman"/>
          <w:b w:val="0"/>
          <w:color w:val="000000"/>
          <w:sz w:val="20"/>
        </w:rPr>
        <w:t xml:space="preserve">O Código de Defesa do Consumidor é aplicável às instituições financeiras.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No caso em tela, as relações entre a parte autora e a parte demandada devem ser reguladas, portanto, pelo Código de Defesa do Consumidor.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Ônus da prova neste caso concreto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Com efeito, em causas como a debatida, incumbe à parte demandada a prova da existência do legítimo contrato que justifique os débitos da tarifa “CESTA B.EXPRESSO1” na conta em que a parte autora recebe seu benefício previdenciário, mormente em face da inversão do ônus da prova imposta pela hipossuficiência da demandante (art. 6º, VIII, da Lei n. 8.078/90).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Ademais, deve-se aplicar o princípio da carga dinâmica das provas para atribuir à parte demandada o ônus de demonstrar a existência dos fatos que lhe aproveitam. Ora, deixar ao consumidor o ônus de provar a inexistência de contrato é exigir que se prove fato negativo, somente possível através de elementos indiretos e de efetivação onerosa e complexa, portanto, inviável. Lado outro, à demandada seria por demais simples a prova da legítima contratação com a demandante, bastando apresentar o instrumento do contrato e documentos correlatos.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Nessa ótica, considerado invertido o ônus probandi, deveria o demandado juntar aos autos virtuais o instrumento do contrato que alega legítimo, com a assinatura das partes, e documentos pessoais da demandante.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Nota-se que a parte requerida não juntou aos autos virtuais documentação capaz de comprovar a realização da contratação questionada em juízo, não se desincumbindo do ônus que lhe impõe a atividade probatória nesta seara. Por essas constatações, é imperioso considerar os pedidos da inicial até onde são coerentes com o demonstrado na lide e aplicar a legislação de defesa dos consumidores, bem como a legislação civil brasileira.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Ato ilícito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A parte demandada, ao desviar-se do ordenamento jurídico brasileiro, que exige bilateralismo hígido nas relações negociais, cometeu ato ilícito. Portanto, deve a conduta ser tida como cobrança indevida, causadora de evidente dano material. Tal fato, nos termos do art. 42, Parágrafo único, do CDC, impõe a restituição em dobro do indébito, com correção monetária e juros legais.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/>
          <w:b/>
          <w:color w:val="000000"/>
          <w:sz w:val="24"/>
        </w:rPr>
        <w:t xml:space="preserve">Danos morais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Do que se encontra comprovado nos autos, considero que a parte demandante também merece amparo no que concerne ao pedido de condenação por danos morais. Realmente, ao proceder aos descontos indevidos e não autorizados no valor do benefício previdenciário da parte autora, a instituição financeira ré produziu danos à dignidade da pessoa idosa, privando-a dos poucos valores de que dispõe para a manutenção de sua vida, já fragilizada pelo decurso inexorável do tempo e pela hipossuficiência econômica.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Os autos atestam, precipuamente, um prejuízo de R$ 2.995,40 (dois mil novecentos e noventa e cinco reais e quarenta centavos), a ser contabilizado em liquidação.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Não há como considerar-se mero dissabor ou simples inconveniente na retirada de parte dos valores destinados à manutenção da pessoa idosa, eis que nessa fase da vida as necessidades materiais se multiplicam enquanto a capacidade de resistência física e moral aos agravos sofridos resta sensivelmente diminuída. Tenha-se que a importância de preservar-se o idoso das investidas injustas e de qualquer tipo de negligência foi sentida pelo legislado, que estabeleceu um estatuto próprio para as pessoas dessa faixa etária, visando à sua proteção integral (Lei n. 10.741/2003).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Demonstrada a ilicitude dos descontos nos proventos da parte autora, mormente pela juntada de documento, comprovado o dano e o nexo de causalidade, resta apenas quantificar o valor da indenização.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Questão das mais tormentosas na doutrina, por falta de balizas legais seguras, o valor da indenização por dano moral deve ser fixado em montante razoável que, de um lado, promova um conforto ao lesado capaz de compensar a dor moral sofrida e, de outro, imprima sanção ao causador do dano, como desestímulo à prática de outras condutas danosas.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No presente caso, assiste direito à parte autora de obter indenização pelo dano moral sofrido, entretanto, o valor deve ser fixado com observância da razoabilidade, sob pena de ser insignificante, se muito baixo, ou de causar enriquecimento ilícito, se por demais elevado.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Tenho por significativa a extensão do dano moral sofrido pela autora no caso em comento, em face do constante nos autos, mormente pelo tempo decorrido desde o início dos descontos indevidos.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Considerando as peculiaridades do caso, com foco no valor dos descontos indevidos, na repercussão da ofensa e na posição social da parte autora, tenho como razoável a condenação do réu a pagar o valor de R$ 3.000,00 (três mil reais) a título de indenização por danos morais, quantia que entendo suficiente para satisfazer a reparação da lesão experimentada pela parte autora e para coibir a prática de outras condutas ilícitas semelhantes pela parte ré, sem se tornar fonte de enriquecimento ilícito.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/>
          <w:b/>
          <w:color w:val="000000"/>
          <w:sz w:val="24"/>
        </w:rPr>
        <w:t xml:space="preserve">III - DISPOSITIVO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Pelo exposto, com fundamento nos arts. 186 e 927 do CC, nos arts. 6º, VIII, e 14 do CDC, c/c o art. 487, I, do CPC, JULGO PROCEDENTES os pedidos para declarar inexistente a relação jurídica quanto à tarifa “CESTA B.EXPRESSO1” e inexigível o débito dela decorrente, e condenar a parte demandada a restituir em dobro os valores debitados da conta da parte autora, cessando de imediato as cobranças e cancelando a cesta de serviços.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Condeno, ainda, a parte demandada ao pagamento de indenização por danos morais no valor de R$ 3.000,00 (três mil reais).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Sobre a indenização por danos morais incidem correção monetária pelo IPCA desde o arbitramento (Súmula 362 do STJ) e juros de mora pela taxa legal (art. 406, § 1º, do CC) desde o evento danoso (Súmula 54 do STJ).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Considerando o prazo prescricional de 05 (cinco) anos do art. 27 do CDC, a restituição alcança apenas as parcelas não prescritas.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O valor da restituição será acrescido de juros de mora pela taxa legal (art. 406, § 1º, do CC) desde a citação e de correção monetária pelo IPCA desde cada débito (art. 389, parágrafo único, do CC).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Custas pela parte demandada. Fixo honorários em 10% (dez por cento) sobre o valor da condenação.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Publique-se. Registre-se. Intimem-se.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Com o trânsito em julgado, cumprida a sentença, arquivem-se os autos com a devida baixa.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/>
          <w:b w:val="0"/>
          <w:color w:val="000000"/>
          <w:sz w:val="24"/>
        </w:rPr>
        <w:t xml:space="preserve">Havendo apelação, intime-se a parte contrária para contrarrazões em 15 (quinze) dias e, após, remetam-se os autos ao e. Tribunal de Justiça.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/>
          <w:b w:val="0"/>
          <w:color w:val="000000"/>
          <w:sz w:val="24"/>
        </w:rPr>
        <w:t xml:space="preserve">ITAUEIRA-PI, [[[CONFERIR NOS AUTOS]]].</w:t>
      </w: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left"/>
      </w:pP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/>
          <w:b/>
          <w:color w:val="000000"/>
          <w:sz w:val="24"/>
        </w:rPr>
        <w:t xml:space="preserve">MÁRIO SOARES DE ALENCAR</w:t>
      </w: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/>
          <w:b w:val="0"/>
          <w:color w:val="000000"/>
          <w:sz w:val="24"/>
        </w:rPr>
        <w:t xml:space="preserve">Juiz de Direito da Vara Única da Comarca de Itaueira</w:t>
      </w:r>
    </w:p>
    <w:sectPr w:rsidR="00FC693F" w:rsidRPr="0006063C" w:rsidSect="00034616">
      <w:pgSz w:w="11906" w:h="16838"/>
      <w:pgMar w:top="1701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