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after="0" w:before="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PROCESSO Nº 0800656-35.2024.8.18.0056 | AUTOR(A): VALMIR BARBOSA GOMES | RÉU: INSS</w:t>
      </w:r>
    </w:p>
    <w:p>
      <w:pPr>
        <w:pBdr>
          <w:top w:val="single" w:sz="6" w:space="4" w:color="BF8F00"/>
          <w:left w:val="single" w:sz="6" w:space="4" w:color="BF8F00"/>
          <w:bottom w:val="single" w:sz="6" w:space="4" w:color="BF8F00"/>
          <w:right w:val="single" w:sz="6" w:space="4" w:color="BF8F00"/>
        </w:pBdr>
        <w:shd w:val="clear" w:color="auto" w:fill="FFF2CC"/>
        <w:spacing w:after="120" w:before="120" w:line="276" w:lineRule="auto"/>
        <w:ind w:firstLine="0"/>
        <w:jc w:val="both"/>
      </w:pPr>
      <w:r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NOTA DA ASSESSORIA — excluir antes da assinatura.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Ato recomendado antes da sentença. Indicar o nome do novo perito (ortopedista) e, se for o caso, deliberar sobre a remuneração do perito anterior (art. 465, § 5º, do CPC).</w:t>
      </w:r>
    </w:p>
    <w:p>
      <w:pPr>
        <w:spacing w:after="0" w:before="240" w:line="360" w:lineRule="auto"/>
        <w:jc w:val="center"/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DECISÃO</w:t>
      </w:r>
    </w:p>
    <w:p>
      <w:pPr>
        <w:widowControl w:val="1"/>
        <w:spacing w:after="0" w:before="0" w:line="360" w:lineRule="auto"/>
        <w:ind w:left="0" w:right="0"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Trata-se de ação previdenciária em que a parte autora postula benefício por incapacidade em razão de lombociatalgia e espondilodiscopatia. O perito nomeado (ID 69325170), Dr. André Cipriano Saraiva Gomes, concluiu, no laudo de 10/02/2025 (ID 70533992), que o autor está incapacitado para sua profissão e para qualquer outra atividade, sem possibilidade de recuperação ou reabilitação. Deferida a complementação requerida pelo INSS (ID 85132471), o mesmo perito fixou o início da incapacidade em "1991", afirmou que a lombalgia crônica "reduz capacidade laboral" e que o autor pode ser reabilitado para atividades "administrativo; recepção; vendas; vigilância" (ID 89412053). Vieram os autos conclusos.</w:t>
      </w:r>
    </w:p>
    <w:p>
      <w:pPr>
        <w:widowControl w:val="1"/>
        <w:spacing w:after="0" w:before="0" w:line="360" w:lineRule="auto"/>
        <w:ind w:left="0" w:right="0" w:firstLine="709"/>
        <w:jc w:val="both"/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Da necessidade de nova perícia.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juiz determinará, de ofício ou a requerimento da parte, a realização de nova perícia quando a matéria não estiver suficientemente esclarecida (art. 480 do CPC). É o caso dos autos, por duas razões.</w:t>
      </w:r>
    </w:p>
    <w:p>
      <w:pPr>
        <w:widowControl w:val="1"/>
        <w:spacing w:after="0" w:before="0" w:line="360" w:lineRule="auto"/>
        <w:ind w:left="0" w:right="0"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Primeiro, as conclusões periciais são contraditórias entre si e com os demais elementos dos autos. O laudo complementar afirma redução da capacidade e possibilidade de reabilitação, ao passo que o laudo original negou ambas; fixa o início da incapacidade em 1991, ano anterior ao início da doença indicado pelo próprio perito (1996) e incompatível com os vínculos de motorista registrados no CNIS até 2019 e em 2022 (IDs 73187503 e 89865608); e nenhum dos dois laudos descreve os achados do exame físico nem indica as razões técnicas da divergência com a perícia administrativa de 28/03/2022 (ID 73187502), como exige o art. 129-A, § 1º, da Lei nº 8.213/1991.</w:t>
      </w:r>
    </w:p>
    <w:p>
      <w:pPr>
        <w:widowControl w:val="1"/>
        <w:spacing w:after="0" w:before="0" w:line="360" w:lineRule="auto"/>
        <w:ind w:left="0" w:right="0"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Segundo, o perito subscreveu, em 10/08/2021, o laudo médico particular que instrui a petição inicial e foi apresentado ao INSS, no qual recomendou ao autor repouso laboral por três meses (ID 61684951, p. 2; ID 73187502). O Código de Ética Médica dispõe:</w:t>
      </w:r>
    </w:p>
    <w:p>
      <w:pPr>
        <w:keepLines w:val="1"/>
        <w:spacing w:after="0" w:before="120" w:line="240" w:lineRule="auto"/>
        <w:ind w:left="2268" w:right="0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É vedado ao médico:</w:t>
      </w:r>
    </w:p>
    <w:p>
      <w:pPr>
        <w:keepLines w:val="1"/>
        <w:spacing w:after="0" w:before="0" w:line="240" w:lineRule="auto"/>
        <w:ind w:left="2268" w:right="0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Art. 93. Ser perito ou auditor do próprio paciente, de pessoa de sua família ou de qualquer outra com a qual tenha relações capazes de influir em seu trabalho ou de empresa em que atue ou tenha atuado.</w:t>
      </w:r>
    </w:p>
    <w:p>
      <w:pPr>
        <w:keepLines w:val="1"/>
        <w:spacing w:after="0" w:before="0" w:line="240" w:lineRule="auto"/>
        <w:ind w:left="2268" w:right="0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(art. 93 do Código de Ética Médica — Resolução CFM nº 2.217/2018)</w:t>
      </w:r>
    </w:p>
    <w:p>
      <w:pPr>
        <w:keepLines w:val="1"/>
        <w:spacing w:after="120" w:before="0" w:line="240" w:lineRule="auto"/>
        <w:ind w:left="2268" w:right="0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Disponível em: &lt;</w:t>
      </w:r>
      <w:hyperlink r:id="rId100">
        <w:r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https://portal.cfm.org.br/images/PDF/cem2019.pdf</w:t>
        </w:r>
      </w:hyperlink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&gt;. Acesso em: 01/10/2026.</w:t>
      </w:r>
    </w:p>
    <w:p>
      <w:pPr>
        <w:widowControl w:val="1"/>
        <w:spacing w:after="0" w:before="0" w:line="360" w:lineRule="auto"/>
        <w:ind w:left="0" w:right="0"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Aos auxiliares da justiça aplicam-se os motivos de impedimento e de suspeição (art. 148, II, do CPC). Ainda que a circunstância não tenha sido arguida pelas partes, ela compromete a confiabilidade da prova técnica, cuja suficiência o juízo deve aferir de ofício (arts. 370 e 480 do CPC).</w:t>
      </w:r>
    </w:p>
    <w:p>
      <w:pPr>
        <w:widowControl w:val="1"/>
        <w:spacing w:after="0" w:before="0" w:line="360" w:lineRule="auto"/>
        <w:ind w:left="0" w:right="0" w:firstLine="709"/>
        <w:jc w:val="both"/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Das providências.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Ante o exposto, CONVERTO O JULGAMENTO EM DILIGÊNCIA e determino a realização de nova perícia médica, que terá por objeto os mesmos fatos e não substituirá a primeira, cabendo ao juiz apreciar o valor de uma e de outra (art. 480, §§ 1º e 3º, do CPC). Nomeio perito o(a) Dr(a). </w:t>
      </w:r>
      <w:r>
        <w:rPr>
          <w:rFonts w:ascii="Times New Roman" w:cs="Times New Roman" w:eastAsia="Times New Roman" w:hAnsi="Times New Roman"/>
          <w:sz w:val="24"/>
          <w:szCs w:val="24"/>
          <w:highlight w:val="lightGray"/>
          <w:rtl w:val="0"/>
        </w:rPr>
        <w:t xml:space="preserve">«NOME»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médico(a) ortopedista, que deverá apresentar o laudo no prazo de 20 (vinte) dias após o exame, respondendo aos quesitos já apresentados pelas partes, aos quesitos do Juízo de ID 66860324 e, fundamentadamente, aos seguintes quesitos complementares:</w:t>
      </w:r>
    </w:p>
    <w:p>
      <w:pPr>
        <w:widowControl w:val="1"/>
        <w:spacing w:after="0" w:before="0" w:line="360" w:lineRule="auto"/>
        <w:ind w:left="0" w:right="0"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qual a data de início da incapacidade (dia, mês e ano, ainda que estimada), distinta da data de início da doença, e em que dados objetivos ou documentos se apoia; havia incapacidade em 16/07/2021 (DER) e em 28/03/2022 (perícia administrativa)?</w:t>
      </w:r>
    </w:p>
    <w:p>
      <w:pPr>
        <w:widowControl w:val="1"/>
        <w:spacing w:after="0" w:before="0" w:line="360" w:lineRule="auto"/>
        <w:ind w:left="0" w:right="0"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a atividade de motorista exercida de 10/08/2022 a 03/12/2022 era compatível com o quadro clínico?</w:t>
      </w:r>
    </w:p>
    <w:p>
      <w:pPr>
        <w:widowControl w:val="1"/>
        <w:spacing w:after="0" w:before="0" w:line="360" w:lineRule="auto"/>
        <w:ind w:left="0" w:right="0"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a incapacidade, se existente, é total ou parcial, temporária ou permanente, e qual o prazo estimado de recuperação?</w:t>
      </w:r>
    </w:p>
    <w:p>
      <w:pPr>
        <w:widowControl w:val="1"/>
        <w:spacing w:after="0" w:before="0" w:line="360" w:lineRule="auto"/>
        <w:ind w:left="0" w:right="0"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há potencial de reabilitação profissional, considerando a idade, a escolaridade e o histórico laboral do autor? Para quais atividades?</w:t>
      </w:r>
    </w:p>
    <w:p>
      <w:pPr>
        <w:widowControl w:val="1"/>
        <w:spacing w:after="0" w:before="0" w:line="360" w:lineRule="auto"/>
        <w:ind w:left="0" w:right="0"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o autor necessita da assistência permanente de outra pessoa?</w:t>
      </w:r>
    </w:p>
    <w:p>
      <w:pPr>
        <w:widowControl w:val="1"/>
        <w:spacing w:after="0" w:before="0" w:line="360" w:lineRule="auto"/>
        <w:ind w:left="0" w:right="0"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f) quais as razões técnicas de eventual divergência com a perícia administrativa de 28/03/2022 (art. 129-A, § 1º, da Lei nº 8.213/1991)?</w:t>
      </w:r>
    </w:p>
    <w:p>
      <w:pPr>
        <w:widowControl w:val="1"/>
        <w:spacing w:after="0" w:before="0" w:line="360" w:lineRule="auto"/>
        <w:ind w:left="0" w:right="0"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Intimem-se as partes para, em 15 (quinze) dias, arguir o impedimento ou a suspeição do perito, indicar assistente técnico e apresentar quesitos (art. 465, § 1º, do CPC). Encaminhem-se ao perito cópias dos laudos anteriores (IDs 70533992 e 89412053), do laudo administrativo (ID 73187502) e dos documentos médicos de ID 61684951. Faculto ao autor, no mesmo prazo, juntar documentos médicos posteriores a 2021, prova da situação de desemprego após a rescisão de 28/11/2019 (termo de rescisão, guias de seguro-desemprego ou registro no órgão próprio) e comprovante de residência atual. Juntado o laudo, intimem-se as partes para manifestação no prazo comum de 15 (quinze) dias (art. 477, § 1º, do CPC).</w:t>
      </w:r>
    </w:p>
    <w:p>
      <w:pPr>
        <w:widowControl w:val="1"/>
        <w:spacing w:after="0" w:before="0" w:line="360" w:lineRule="auto"/>
        <w:ind w:left="0" w:right="0" w:firstLine="709"/>
        <w:jc w:val="both"/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Da autuação.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causa de pedir é doença comum, sem alegação de acidente ou de nexo com o trabalho; o benefício requerido na via administrativa é previdenciário (ID 61684953). Retifique-se a autuação, para excluir os assuntos "Auxílio-Doença Acidentário" e "Aposentadoria por Invalidez Acidentária".</w:t>
      </w:r>
    </w:p>
    <w:p>
      <w:pPr>
        <w:widowControl w:val="1"/>
        <w:spacing w:after="0" w:before="0" w:line="360" w:lineRule="auto"/>
        <w:ind w:left="0" w:right="0"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Intimem-se. Cumpra-se.</w:t>
      </w:r>
    </w:p>
    <w:p>
      <w:pPr>
        <w:spacing w:after="0" w:before="240" w:line="36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Itaueira-PI, data da assinatura eletrônica.</w:t>
      </w:r>
    </w:p>
    <w:p>
      <w:pPr>
        <w:spacing w:after="0" w:before="240" w:line="36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  <w:highlight w:val="lightGray"/>
          <w:rtl w:val="0"/>
        </w:rPr>
        <w:t xml:space="preserve">MÁRIO SOARES DE ALENCAR</w:t>
      </w:r>
    </w:p>
    <w:p>
      <w:pPr>
        <w:spacing w:after="0" w:before="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Juiz de Direito</w:t>
      </w:r>
    </w:p>
    <w:sectPr>
      <w:pgSz w:h="16838" w:w="11906" w:orient="portrait"/>
      <w:pgMar w:bottom="1134" w:top="1701" w:left="1701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
<Relationships xmlns="http://schemas.openxmlformats.org/package/2006/relationships"><Relationship Id="rId11" Type="http://schemas.openxmlformats.org/officeDocument/2006/relationships/hyperlink" Target="https://www.planalto.gov.br/ccivil_03/leis/l8213cons.htm" TargetMode="External"/><Relationship Id="rId10" Type="http://schemas.openxmlformats.org/officeDocument/2006/relationships/hyperlink" Target="https://www.jusbrasil.com.br/jurisprudencia/stj/2170018150" TargetMode="External"/><Relationship Id="rId13" Type="http://schemas.openxmlformats.org/officeDocument/2006/relationships/hyperlink" Target="https://www.cjf.jus.br/phpdoc/virtus/sumula.php?nsul=47" TargetMode="External"/><Relationship Id="rId12" Type="http://schemas.openxmlformats.org/officeDocument/2006/relationships/hyperlink" Target="https://www.cjf.jus.br/cjf/corregedoria-da-justica-federal/turma-nacional-de-uniformizacao/temas-representativos/tema-246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rupogen.com.br/livro-direito-previdenciario-5-edicao-2026-carlos-alberto-pereira-de-castro-e-joao-batista-lazzari-editora-metodo-9788530998301" TargetMode="External"/><Relationship Id="rId14" Type="http://schemas.openxmlformats.org/officeDocument/2006/relationships/hyperlink" Target="https://www.cjf.jus.br/cjf/corregedoria-da-justica-federal/turma-nacional-de-uniformizacao/temas-representativos/tema-177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grupogen.com.br/livro-direito-previdenciario-5-edicao-2026-carlos-alberto-pereira-de-castro-e-joao-batista-lazzari-editora-metodo-9788530998301" TargetMode="External"/><Relationship Id="rId7" Type="http://schemas.openxmlformats.org/officeDocument/2006/relationships/hyperlink" Target="https://www.planalto.gov.br/ccivil_03/leis/l8213cons.htm" TargetMode="External"/><Relationship Id="rId8" Type="http://schemas.openxmlformats.org/officeDocument/2006/relationships/hyperlink" Target="https://www.grupogen.com.br/livro-direito-previdenciario-5-edicao-2026-carlos-alberto-pereira-de-castro-e-joao-batista-lazzari-editora-metodo-9788530998301" TargetMode="External"/><Relationship Id="rId100" Type="http://schemas.openxmlformats.org/officeDocument/2006/relationships/hyperlink" Target="https://portal.cfm.org.br/images/PDF/cem2019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