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360" w:lineRule="auto"/>
        <w:ind w:firstLine="0"/>
        <w:jc w:val="left"/>
      </w:pPr>
      <w:r>
        <w:rPr>
          <w:rFonts w:ascii="Times New Roman" w:cs="Times New Roman" w:eastAsia="Times New Roman" w:hAnsi="Times New Roman"/>
          <w:sz w:val="24"/>
          <w:szCs w:val="24"/>
          <w:rtl w:val="0"/>
        </w:rPr>
        <w:t xml:space="preserve">PROCESSO Nº 0800075-54.2023.8.18.0056 | AUTOR(A): ELISANIA DE SOUSA LOPES PIO | RÉU: INSS</w:t>
      </w:r>
    </w:p>
    <w:p>
      <w:pPr>
        <w:pBdr>
          <w:top w:val="single" w:sz="6" w:space="4" w:color="BF8F00"/>
          <w:left w:val="single" w:sz="6" w:space="4" w:color="BF8F00"/>
          <w:bottom w:val="single" w:sz="6" w:space="4" w:color="BF8F00"/>
          <w:right w:val="single" w:sz="6" w:space="4" w:color="BF8F00"/>
        </w:pBdr>
        <w:shd w:val="clear" w:color="auto" w:fill="FFF2CC"/>
        <w:spacing w:after="120" w:before="120" w:line="276" w:lineRule="auto"/>
        <w:ind w:firstLine="0"/>
        <w:jc w:val="both"/>
      </w:pPr>
      <w:r>
        <w:rPr>
          <w:rFonts w:ascii="Times New Roman" w:cs="Times New Roman" w:eastAsia="Times New Roman" w:hAnsi="Times New Roman"/>
          <w:b w:val="1"/>
          <w:bCs w:val="1"/>
          <w:sz w:val="22"/>
          <w:szCs w:val="22"/>
          <w:rtl w:val="0"/>
        </w:rPr>
        <w:t xml:space="preserve">NOTA DA ASSESSORIA — excluir antes da assinatura.</w:t>
      </w:r>
      <w:r>
        <w:rPr>
          <w:rFonts w:ascii="Times New Roman" w:cs="Times New Roman" w:eastAsia="Times New Roman" w:hAnsi="Times New Roman"/>
          <w:sz w:val="22"/>
          <w:szCs w:val="22"/>
          <w:rtl w:val="0"/>
        </w:rPr>
        <w:t xml:space="preserve"> </w:t>
      </w:r>
      <w:r>
        <w:rPr>
          <w:rFonts w:ascii="Times New Roman" w:cs="Times New Roman" w:eastAsia="Times New Roman" w:hAnsi="Times New Roman"/>
          <w:b w:val="1"/>
          <w:bCs w:val="1"/>
          <w:sz w:val="22"/>
          <w:szCs w:val="22"/>
          <w:rtl w:val="0"/>
        </w:rPr>
        <w:t xml:space="preserve">Processo NÃO maduro para sentença.</w:t>
      </w:r>
      <w:r>
        <w:rPr>
          <w:rFonts w:ascii="Times New Roman" w:cs="Times New Roman" w:eastAsia="Times New Roman" w:hAnsi="Times New Roman"/>
          <w:sz w:val="22"/>
          <w:szCs w:val="22"/>
          <w:rtl w:val="0"/>
        </w:rPr>
        <w:t xml:space="preserve"> Faltam: (1) a réplica — a contestação (ID 96679307) arguiu preliminar e a decisão de ID 37976114 manda intimar a autora para réplica e especificação de provas, </w:t>
      </w:r>
      <w:r>
        <w:rPr>
          <w:rFonts w:ascii="Times New Roman" w:cs="Times New Roman" w:eastAsia="Times New Roman" w:hAnsi="Times New Roman"/>
          <w:b w:val="1"/>
          <w:bCs w:val="1"/>
          <w:sz w:val="22"/>
          <w:szCs w:val="22"/>
          <w:rtl w:val="0"/>
        </w:rPr>
        <w:t xml:space="preserve">exclusivamente em nome do Dr. Luciano Henrique Soares de Oliveira Aires</w:t>
      </w:r>
      <w:r>
        <w:rPr>
          <w:rFonts w:ascii="Times New Roman" w:cs="Times New Roman" w:eastAsia="Times New Roman" w:hAnsi="Times New Roman"/>
          <w:sz w:val="22"/>
          <w:szCs w:val="22"/>
          <w:rtl w:val="0"/>
        </w:rPr>
        <w:t xml:space="preserve"> (ID 45411796, sob pena de nulidade); (2) a audiência — a qualidade de segurada especial é o único tema da defesa, a prova testemunhal foi requerida na inicial e deferida condicionalmente (ID 37976114), e a prova material está, em sua maior parte, em nome de terceiro; (3) esclarecimentos do perito sobre a DII (fixada só como "ano de 2022"). Ato recomendado agora: a decisão que acompanha este arquivo. Esta minuta traz preenchido o que independe dessas diligências. Não houve pedido de tutela de urgência — por isso o parágrafo de tutela do modelo foi suprimido. Adaptada para aposentadoria por incapacidade permanente (ressalva final do item 5 do modelo).</w:t>
      </w:r>
    </w:p>
    <w:p>
      <w:pPr>
        <w:spacing w:after="0" w:before="240" w:line="360" w:lineRule="auto"/>
        <w:jc w:val="center"/>
      </w:pPr>
      <w:r>
        <w:rPr>
          <w:rFonts w:ascii="Times New Roman" w:cs="Times New Roman" w:eastAsia="Times New Roman" w:hAnsi="Times New Roman"/>
          <w:b w:val="1"/>
          <w:bCs w:val="1"/>
          <w:sz w:val="24"/>
          <w:szCs w:val="24"/>
          <w:rtl w:val="0"/>
        </w:rPr>
        <w:t xml:space="preserve">SENTENÇA</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 - RELATÓRIO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Trata-se de ação previdenciária ajuizada por ELISANIA DE SOUSA LOPES PIO, lavradora, em face do INSTITUTO NACIONAL DO SEGURO SOCIAL – INSS, na qual postula a concessão de auxílio por incapacidade temporária ou de aposentadoria por incapacidade permanente e, sucessivamente, de auxílio-acidente, desde a DER (03/05/2022), relativa ao NB 639.037.509-7 (ID 36746924). Alega ser portadora de hanseníase (CID-10 A30.5), que a incapacita para sua atividade habitual de trabalhadora rural.</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Deferida a gratuidade, determinadas a emenda da inicial e a perícia (ID 37976114) e emendada a inicial (ID 41959564), redesignou-se a perícia, a que a autora não comparecera (ID 85164764), e o laudo veio aos autos (ID 95213956). O INSS contestou (ID 96679307), arguindo, em preliminar, a ausência de início de prova material da condição de segurada especial, com pedido de extinção do processo sem resolução do mérito; </w:t>
      </w:r>
      <w:r>
        <w:rPr>
          <w:rFonts w:ascii="Times New Roman" w:cs="Times New Roman" w:eastAsia="Times New Roman" w:hAnsi="Times New Roman"/>
          <w:sz w:val="24"/>
          <w:szCs w:val="24"/>
          <w:highlight w:val="lightGray"/>
          <w:rtl w:val="0"/>
        </w:rPr>
        <w:t xml:space="preserve">«a parte autora replicou (ID ...). Prestados esclarecimentos pelo perito (ID ...), realizou-se audiência de instrução, com o depoimento pessoal da autora e a oitiva de ... testemunhas (ID ...)»</w:t>
      </w:r>
      <w:r>
        <w:rPr>
          <w:rFonts w:ascii="Times New Roman" w:cs="Times New Roman" w:eastAsia="Times New Roman" w:hAnsi="Times New Roman"/>
          <w:sz w:val="24"/>
          <w:szCs w:val="24"/>
          <w:rtl w:val="0"/>
        </w:rPr>
        <w:t xml:space="preserve">. É o relatório. Decido.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II - FUNDAMENTAÇÃO</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1 - Das questões processuais e da prescrição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feito comporta julgamento após a instrução, presentes os pressupostos processuais.</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INSS pede a extinção do processo sem resolução do mérito, por ausência de início de prova material, invocando a tese firmada pelo Superior Tribunal de Justiça no Tema Repetitivo 629:</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(STJ, Tema Repetitivo 629, REsp n. 1.352.721/SP, Corte Especial, Rel. Min. Napoleão Nunes Maia Filho, j. 16/12/2015, DJe 28/04/2016)</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0">
        <w:r>
          <w:rPr>
            <w:rFonts w:ascii="Times New Roman" w:cs="Times New Roman" w:eastAsia="Times New Roman" w:hAnsi="Times New Roman"/>
            <w:color w:val="0563c1"/>
            <w:sz w:val="24"/>
            <w:szCs w:val="24"/>
            <w:u w:val="single"/>
            <w:rtl w:val="0"/>
          </w:rPr>
          <w:t xml:space="preserve">https://processo.stj.jus.br/repetitivos/temas_repetitivos/pesquisa.jsp?novaConsulta=true&amp;tipo_pesquisa=T&amp;cod_tema_inicial=629&amp;cod_tema_final=629</w:t>
        </w:r>
      </w:hyperlink>
      <w:r>
        <w:rPr>
          <w:rFonts w:ascii="Times New Roman" w:cs="Times New Roman" w:eastAsia="Times New Roman" w:hAnsi="Times New Roman"/>
          <w:sz w:val="24"/>
          <w:szCs w:val="24"/>
          <w:rtl w:val="0"/>
        </w:rPr>
        <w:t xml:space="preserve">&gt;. Acesso em: </w:t>
      </w:r>
      <w:r>
        <w:rPr>
          <w:rFonts w:ascii="Times New Roman" w:cs="Times New Roman" w:eastAsia="Times New Roman" w:hAnsi="Times New Roman"/>
          <w:sz w:val="24"/>
          <w:szCs w:val="24"/>
          <w:highlight w:val="lightGray"/>
          <w:rtl w:val="0"/>
        </w:rPr>
        <w:t xml:space="preserve">«data da conferência no portal do STJ»</w:t>
      </w:r>
      <w:r>
        <w:rPr>
          <w:rFonts w:ascii="Times New Roman" w:cs="Times New Roman" w:eastAsia="Times New Roman" w:hAnsi="Times New Roman"/>
          <w:sz w:val="24"/>
          <w:szCs w:val="24"/>
          <w:rtl w:val="0"/>
        </w:rPr>
        <w:t xml:space="preserve">.</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preliminar não procede. A tese pressupõe ausência de conteúdo probatório eficaz, o que não ocorre: instruem os autos carteira de associada do Sindicato dos Trabalhadores Rurais de Rio Grande do Piauí desde 16/07/2008 (ID 36746933), registro de atividade de segurada especial no CNIS desde 16/08/2008 (ID 96679308), contrato de comodato rural de 14/08/2013 e Declaração de Aptidão ao Pronaf de 11/08/2021, ambos em nome de Sebastião Soares da Silva (ID 36746938, p. 6 e 11), cadastro domiciliar municipal em zona rural, na condição de comodatária (ID 36746938, p. 5), certidão da Justiça Eleitoral com a ocupação declarada de trabalhadora rural (ID 36746938, p. 7) e fatura de energia elétrica de classe rural em nome da autora (ID 36746938, p. 1). Se tais documentos bastam, com a prova oral, para demonstrar a qualidade de segurada especial, é questão de mérito, examinada no item 3. Rejeito a preliminar.</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prescrição alcança apenas as parcelas vencidas antes do quinquênio que precede o ajuizamento (art. 103, parágrafo único, da Lei nº 8.213/1991): requerido o benefício em 03/05/2022 e ajuizada a ação em 08/02/2023, não há parcelas prescritas.</w:t>
      </w:r>
    </w:p>
    <w:p>
      <w:pPr>
        <w:keepNext w:val="1"/>
        <w:spacing w:after="120" w:before="240" w:line="360" w:lineRule="auto"/>
        <w:ind w:firstLine="0"/>
        <w:jc w:val="left"/>
      </w:pPr>
      <w:r>
        <w:rPr>
          <w:rFonts w:ascii="Times New Roman" w:cs="Times New Roman" w:eastAsia="Times New Roman" w:hAnsi="Times New Roman"/>
          <w:b w:val="1"/>
          <w:bCs w:val="1"/>
          <w:sz w:val="24"/>
          <w:szCs w:val="24"/>
          <w:rtl w:val="0"/>
        </w:rPr>
        <w:t xml:space="preserve">2 - Dos benefícios por incapacidade e de seus pressupostos</w:t>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São, pois, pressupostos cumulativos dos benefícios por incapacidade a qualidade de segurado, a carência, quando exigida, e a incapacidade para a atividade habitual — temporária, ou permanente mas passível de reabilitação, no caso do auxílio; total, permanente e insuscetível de reabilitação para atividade que garanta a subsistência, no caso da aposentadoria.</w:t>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rsidR="00000000" w:rsidDel="00000000" w:rsidP="00000000" w:rsidRDefault="00000000" w:rsidRPr="00000000" w14:paraId="0000001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Vide qual a motivação da existência da categoria dos segurados especiais para melhor baliza com o caso concreto:</w:t>
      </w:r>
      <w:r w:rsidDel="00000000" w:rsidR="00000000" w:rsidRPr="00000000">
        <w:rPr>
          <w:rtl w:val="0"/>
        </w:rPr>
      </w:r>
    </w:p>
    <w:p w:rsidR="00000000" w:rsidDel="00000000" w:rsidP="00000000" w:rsidRDefault="00000000" w:rsidRPr="00000000" w14:paraId="0000001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Essa se estabelece a partir da redação do art. 195, § 8º, da Constituição, que determina ao legislador que observe tratamento diferenciado àqueles que, trabalhando por conta própria em regime de economia familiar, realizem pequena produção, de que retiram sua subsistência. O dispositivo constitucional determina que a base de cálculo das contribuições à Seguridade Social desses seja o produto da comercialização de sua produção, criando assim regra diferenciada para a participação no custeio. É que, sendo sua atividade instável durante o ano (em função dos períodos de safra, no caso dos agricultores, temporadas de pesca, para os pescadores, criação e engorda do gado, no caso dos pecuaristas etc.), não se pode exigir deles, em boa parte dos casos, contribuições mensais, em valores fixos estipulados.</w:t>
      </w:r>
      <w:r w:rsidDel="00000000" w:rsidR="00000000" w:rsidRPr="00000000">
        <w:rPr>
          <w:rtl w:val="0"/>
        </w:rPr>
      </w:r>
    </w:p>
    <w:p w:rsidR="00000000" w:rsidDel="00000000" w:rsidP="00000000" w:rsidRDefault="00000000" w:rsidRPr="00000000" w14:paraId="0000001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72)</w:t>
      </w:r>
      <w:r w:rsidDel="00000000" w:rsidR="00000000" w:rsidRPr="00000000">
        <w:rPr>
          <w:rtl w:val="0"/>
        </w:rPr>
      </w:r>
    </w:p>
    <w:p w:rsidR="00000000" w:rsidDel="00000000" w:rsidP="00000000" w:rsidRDefault="00000000" w:rsidRPr="00000000" w14:paraId="0000001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9">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Por isso, para o(a) segurado(a) especial, a carência é suprida pela prova do exercício de atividade rural, ainda que descontínua, no período imediatamente anterior ao requerimento (art. 39, I, da Lei nº 8.213/1991), mediante início de prova material corroborado por prova testemunhal, vedada a prova exclusivamente testemunhal (Súmula n. 149 do STJ). A carência, de todo modo, é dispensada, por se tratar de hanseníase (art. 26, II, c/c art. 151 da Lei nº 8.213/1991); remanesce a exigência da qualidade de segurada especial na data de início da incapacidade. No caso, carteira de associada do Sindicato dos Trabalhadores Rurais de Rio Grande do Piauí desde 16/07/2008 (ID 36746933), registro de atividade de segurada especial no CNIS desde 16/08/2008 (ID 96679308), contrato de comodato rural de 14/08/2013 e Declaração de Aptidão ao Pronaf de 11/08/2021, ambos em nome de Sebastião Soares da Silva (ID 36746938, p. 6 e 11), cadastro domiciliar municipal em zona rural, na condição de comodatária (ID 36746938, p. 5), certidão da Justiça Eleitoral com a ocupação declarada de trabalhadora rural (ID 36746938, p. 7) e fatura de energia elétrica de classe rural em nome da autora (ID 36746938, p. 1), </w:t>
      </w:r>
      <w:r>
        <w:rPr>
          <w:rFonts w:ascii="Times New Roman" w:cs="Times New Roman" w:eastAsia="Times New Roman" w:hAnsi="Times New Roman"/>
          <w:sz w:val="24"/>
          <w:szCs w:val="24"/>
          <w:highlight w:val="lightGray"/>
          <w:rtl w:val="0"/>
        </w:rPr>
        <w:t xml:space="preserve">«corroborados pelos depoimentos (ID ...)»</w:t>
      </w:r>
      <w:r>
        <w:rPr>
          <w:rFonts w:ascii="Times New Roman" w:cs="Times New Roman" w:eastAsia="Times New Roman" w:hAnsi="Times New Roman"/>
          <w:sz w:val="24"/>
          <w:szCs w:val="24"/>
          <w:rtl w:val="0"/>
        </w:rPr>
        <w:t xml:space="preserve">, demonstram essa qualidade na data de início da incapacidade.</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«SÍNTESE DA PROVA ORAL — a lançar após a audiência: esclarecer a relação da autora com Sebastião Soares da Silva (casamento ou união estável — o RG remete a certidão de casamento não juntada, ao passo que a inicial a qualifica como solteira e a DAP de 2021 qualifica Sebastião como viúvo, com família de uma pessoa); o trabalho rural da autora no imóvel cedido em comodato; e o labor nos 12 meses anteriores à incapacidade (2022). Os documentos em nome de Sebastião só aproveitam à autora se demonstrado o grupo familiar comum.»</w:t>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o laudo pericial (ID 95213956), subscrito por médico cardiologista, concluiu ser a parte autora portadora de sequelas de hanseníase virchowiana (CID-10 B92), parestesias (CID-10 R20.2) e eritema nodoso (CID-10 L52), com incapacidade total e permanente para a atividade habitual de lavradora, fixou a data de início da incapacidade no </w:t>
      </w:r>
      <w:r>
        <w:rPr>
          <w:rFonts w:ascii="Times New Roman" w:cs="Times New Roman" w:eastAsia="Times New Roman" w:hAnsi="Times New Roman"/>
          <w:sz w:val="24"/>
          <w:szCs w:val="24"/>
          <w:highlight w:val="lightGray"/>
          <w:rtl w:val="0"/>
        </w:rPr>
        <w:t xml:space="preserve">«ano de 2022 | DD/MM/AAAA (esclarecimentos, ID ...)»</w:t>
      </w:r>
      <w:r>
        <w:rPr>
          <w:rFonts w:ascii="Times New Roman" w:cs="Times New Roman" w:eastAsia="Times New Roman" w:hAnsi="Times New Roman"/>
          <w:sz w:val="24"/>
          <w:szCs w:val="24"/>
          <w:rtl w:val="0"/>
        </w:rPr>
        <w:t xml:space="preserve">, não estimou prazo de recuperação e consignou que o baixo grau de instrução da autora pode inviabilizar sua adequação a outra atividade. O INSS não impugnou o laudo.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as conclusões periciais são corroboradas pelos atestados da médica assistente, que, em 28/04/2022 e 15/12/2022, declarou a autora impossibilitada de realizar suas atividades rurais por um ano e por seis meses, respectivamente, em razão de hanseníase virchowiana e de reação hansênica tipo 2 (ID 36746935, p. 3-4). </w:t>
      </w:r>
      <w:r>
        <w:rPr>
          <w:rFonts w:ascii="Times New Roman" w:cs="Times New Roman" w:eastAsia="Times New Roman" w:hAnsi="Times New Roman"/>
          <w:sz w:val="24"/>
          <w:szCs w:val="24"/>
          <w:highlight w:val="lightGray"/>
          <w:rtl w:val="0"/>
        </w:rPr>
        <w:t xml:space="preserve">«Enfrentar a divergência com a perícia administrativa de 08/11/2022 (ID 36746940), à luz dos esclarecimentos do perito (art. 129-A, § 1º, da Lei nº 8.213/1991).»</w:t>
      </w:r>
      <w:r>
        <w:rPr>
          <w:rFonts w:ascii="Times New Roman" w:cs="Times New Roman" w:eastAsia="Times New Roman" w:hAnsi="Times New Roman"/>
          <w:sz w:val="24"/>
          <w:szCs w:val="24"/>
          <w:rtl w:val="0"/>
        </w:rPr>
        <w:t xml:space="preserve"> A doença, cujo início o INSS fixou em 01/01/2012 (ID 36746940), é posterior ao início da atividade de segurada especial registrado no CNIS (16/08/2008 — ID 96679308), </w:t>
      </w:r>
      <w:r>
        <w:rPr>
          <w:rFonts w:ascii="Times New Roman" w:cs="Times New Roman" w:eastAsia="Times New Roman" w:hAnsi="Times New Roman"/>
          <w:sz w:val="24"/>
          <w:szCs w:val="24"/>
          <w:highlight w:val="yellow"/>
          <w:rtl w:val="0"/>
        </w:rPr>
        <w:t xml:space="preserve">o que afasta a vedação do art. 42, § 2º, da Lei nº 8.213/1991 se a prova oral confirmar o labor rural desde então</w:t>
      </w:r>
      <w:r>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Constatada incapacidade total e permanente, insuscetível de reabilitação para atividade que garanta a subsistência, à vista também das condições pessoais da autora — </w:t>
      </w:r>
      <w:r>
        <w:rPr>
          <w:rFonts w:ascii="Times New Roman" w:cs="Times New Roman" w:eastAsia="Times New Roman" w:hAnsi="Times New Roman"/>
          <w:sz w:val="24"/>
          <w:szCs w:val="24"/>
          <w:highlight w:val="lightGray"/>
          <w:rtl w:val="0"/>
        </w:rPr>
        <w:t xml:space="preserve">«49»</w:t>
      </w:r>
      <w:r>
        <w:rPr>
          <w:rFonts w:ascii="Times New Roman" w:cs="Times New Roman" w:eastAsia="Times New Roman" w:hAnsi="Times New Roman"/>
          <w:sz w:val="24"/>
          <w:szCs w:val="24"/>
          <w:rtl w:val="0"/>
        </w:rPr>
        <w:t xml:space="preserve"> anos, analfabeta e com trajetória laboral exclusivamente rural —, é devida a aposentadoria por incapacidade permanente (art. 42 da Lei nº 8.213/1991), o que prejudica o pedido sucessivo de auxílio-acidente. O termo inicial é regido pelo art. 43 da Lei nº 8.213/1991:</w:t>
      </w:r>
    </w:p>
    <w:p>
      <w:pPr>
        <w:keepLines w:val="1"/>
        <w:spacing w:after="0" w:before="120" w:line="240" w:lineRule="auto"/>
        <w:ind w:left="2268" w:right="0" w:firstLine="0"/>
        <w:jc w:val="both"/>
      </w:pPr>
      <w:r>
        <w:rPr>
          <w:rFonts w:ascii="Times New Roman" w:cs="Times New Roman" w:eastAsia="Times New Roman" w:hAnsi="Times New Roman"/>
          <w:sz w:val="24"/>
          <w:szCs w:val="24"/>
          <w:rtl w:val="0"/>
        </w:rPr>
        <w:t xml:space="preserve">Art. 43. A aposentadoria por invalidez será devida a partir do dia imediato ao da cessação do auxílio-doença, ressalvado o disposto nos §§ 1º, 2º e 3º deste artigo.</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 1º Concluindo a perícia médica inicial pela existência de incapacidade total e definitiva para o trabalho, a aposentadoria por invalidez será devida:</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b) ao segurado empregado doméstico, trabalhador avulso, contribuinte individual, especial e facultativo, a contar da data do início da incapacidade ou da data da entrada do requerimento, se entre essas datas decorrerem mais de trinta dias.</w:t>
      </w:r>
    </w:p>
    <w:p>
      <w:pPr>
        <w:keepLines w:val="1"/>
        <w:spacing w:after="0" w:before="0" w:line="240" w:lineRule="auto"/>
        <w:ind w:left="2268" w:right="0" w:firstLine="0"/>
        <w:jc w:val="both"/>
      </w:pPr>
      <w:r>
        <w:rPr>
          <w:rFonts w:ascii="Times New Roman" w:cs="Times New Roman" w:eastAsia="Times New Roman" w:hAnsi="Times New Roman"/>
          <w:sz w:val="24"/>
          <w:szCs w:val="24"/>
          <w:rtl w:val="0"/>
        </w:rPr>
        <w:t xml:space="preserve">(art. 43, caput e § 1º, alínea "b", da Lei nº 8.213/1991)</w:t>
      </w:r>
    </w:p>
    <w:p>
      <w:pPr>
        <w:keepLines w:val="1"/>
        <w:spacing w:after="120" w:before="0" w:line="240" w:lineRule="auto"/>
        <w:ind w:left="2268" w:right="0" w:firstLine="0"/>
        <w:jc w:val="both"/>
      </w:pPr>
      <w:r>
        <w:rPr>
          <w:rFonts w:ascii="Times New Roman" w:cs="Times New Roman" w:eastAsia="Times New Roman" w:hAnsi="Times New Roman"/>
          <w:sz w:val="24"/>
          <w:szCs w:val="24"/>
          <w:rtl w:val="0"/>
        </w:rPr>
        <w:t xml:space="preserve">Disponível em: &lt;</w:t>
      </w:r>
      <w:hyperlink r:id="rId101">
        <w:r>
          <w:rPr>
            <w:rFonts w:ascii="Times New Roman" w:cs="Times New Roman" w:eastAsia="Times New Roman" w:hAnsi="Times New Roman"/>
            <w:color w:val="0563c1"/>
            <w:sz w:val="24"/>
            <w:szCs w:val="24"/>
            <w:u w:val="single"/>
            <w:rtl w:val="0"/>
          </w:rPr>
          <w:t xml:space="preserve">https://www.planalto.gov.br/ccivil_03/leis/l8213cons.htm</w:t>
        </w:r>
      </w:hyperlink>
      <w:r>
        <w:rPr>
          <w:rFonts w:ascii="Times New Roman" w:cs="Times New Roman" w:eastAsia="Times New Roman" w:hAnsi="Times New Roman"/>
          <w:sz w:val="24"/>
          <w:szCs w:val="24"/>
          <w:rtl w:val="0"/>
        </w:rPr>
        <w:t xml:space="preserve">&gt;. Acesso em: 01/10/2026.</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No caso, a incapacidade já existia na data do requerimento, como atesta o documento médico de 28/04/2022, que afastou a autora de suas atividades rurais por um ano (ID 36746935, p. 3), </w:t>
      </w:r>
      <w:r>
        <w:rPr>
          <w:rFonts w:ascii="Times New Roman" w:cs="Times New Roman" w:eastAsia="Times New Roman" w:hAnsi="Times New Roman"/>
          <w:sz w:val="24"/>
          <w:szCs w:val="24"/>
          <w:highlight w:val="lightGray"/>
          <w:rtl w:val="0"/>
        </w:rPr>
        <w:t xml:space="preserve">«e como esclareceu o perito (ID ...)»</w:t>
      </w:r>
      <w:r>
        <w:rPr>
          <w:rFonts w:ascii="Times New Roman" w:cs="Times New Roman" w:eastAsia="Times New Roman" w:hAnsi="Times New Roman"/>
          <w:sz w:val="24"/>
          <w:szCs w:val="24"/>
          <w:rtl w:val="0"/>
        </w:rPr>
        <w:t xml:space="preserve">. Fixa-se a DIB na DER, 03/05/2022, termo inicial pedido (art. 492 do CPC).</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NOTA: manter a DIB na DER somente se os esclarecimentos do perito ancorarem a DII até 03/05/2022 e a continuidade da incapacidade. Se a DII for posterior à DER, fixar a DIB na DII (Tema 995 do STJ).</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Tratando-se de aposentadoria por incapacidade permanente, não se fixa data de cessação, ficando o benefício sujeito às avaliações periódicas do art. 101 da Lei nº 8.213/1991. A renda mensal é de um salário mínimo, por se tratar de segurada especial (art. 39, I, da Lei nº 8.213/1991).</w:t>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Ante o exposto, JULGO </w:t>
      </w:r>
      <w:r>
        <w:rPr>
          <w:rFonts w:ascii="Times New Roman" w:cs="Times New Roman" w:eastAsia="Times New Roman" w:hAnsi="Times New Roman"/>
          <w:sz w:val="24"/>
          <w:szCs w:val="24"/>
          <w:highlight w:val="lightGray"/>
          <w:rtl w:val="0"/>
        </w:rPr>
        <w:t xml:space="preserve">«PROCEDENTE»</w:t>
      </w:r>
      <w:r>
        <w:rPr>
          <w:rFonts w:ascii="Times New Roman" w:cs="Times New Roman" w:eastAsia="Times New Roman" w:hAnsi="Times New Roman"/>
          <w:sz w:val="24"/>
          <w:szCs w:val="24"/>
          <w:rtl w:val="0"/>
        </w:rPr>
        <w:t xml:space="preserve"> o pedido, com resolução do mérito (art. 487, I, do CPC), para CONDENAR o INSS a:</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a) conceder à parte autora a aposentadoria por incapacidade permanente, com DIB em 03/05/2022 e renda mensal de um salário mínimo (art. 39, I, da Lei nº 8.213/1991), sujeita às avaliações periódicas do art. 101 da mesma lei;</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b) pagar as parcelas vencidas desde a DIB, deduzidos os valores recebidos a título de benefício inacumulável, com correção monetária e juros na forma do art. 3º da Emenda Constitucional nº 113/2021 até 08/09/2025 e, a partir de então, do regime da Emenda Constitucional nº 136/2025.</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Prejudicado o pedido sucessivo.</w:t>
      </w:r>
    </w:p>
    <w:p>
      <w:pPr>
        <w:widowControl w:val="1"/>
        <w:spacing w:after="0" w:before="0" w:line="360" w:lineRule="auto"/>
        <w:ind w:left="0" w:right="0" w:firstLine="709"/>
        <w:jc w:val="both"/>
      </w:pPr>
      <w:r>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37976114) e a isenção legal da autarquia. Sentença não sujeita ao reexame necessário (art. 496, § 3º, I, do CPC).</w:t>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«Honorários periciais: fixados em R$ 300,00 (ID 37976114); verificar se foram antecipados e, se for o caso, determinar o pagamento ao perito Dr. Ronye Max Cipriano Saraiva.»</w:t>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pPr>
        <w:widowControl w:val="1"/>
        <w:spacing w:after="0" w:before="0" w:line="360" w:lineRule="auto"/>
        <w:ind w:left="0" w:right="0" w:firstLine="709"/>
        <w:jc w:val="both"/>
      </w:pPr>
      <w:r>
        <w:rPr>
          <w:rFonts w:ascii="Times New Roman" w:cs="Times New Roman" w:eastAsia="Times New Roman" w:hAnsi="Times New Roman"/>
          <w:sz w:val="24"/>
          <w:szCs w:val="24"/>
          <w:highlight w:val="yellow"/>
          <w:rtl w:val="0"/>
        </w:rPr>
        <w:t xml:space="preserve">Intimações da parte autora exclusivamente em nome do Dr. Luciano Henrique Soares de Oliveira Aires (ID 45411796).</w:t>
      </w:r>
    </w:p>
    <w:p>
      <w:pPr>
        <w:spacing w:after="0" w:before="240" w:line="360" w:lineRule="auto"/>
        <w:jc w:val="center"/>
      </w:pPr>
      <w:r>
        <w:rPr>
          <w:rFonts w:ascii="Times New Roman" w:cs="Times New Roman" w:eastAsia="Times New Roman" w:hAnsi="Times New Roman"/>
          <w:sz w:val="24"/>
          <w:szCs w:val="24"/>
          <w:rtl w:val="0"/>
        </w:rPr>
        <w:t xml:space="preserve">Itaueira-PI, data da assinatura eletrônica.</w:t>
      </w:r>
    </w:p>
    <w:p>
      <w:pPr>
        <w:spacing w:after="0" w:before="240" w:line="360" w:lineRule="auto"/>
        <w:jc w:val="center"/>
      </w:pPr>
      <w:r>
        <w:rPr>
          <w:rFonts w:ascii="Times New Roman" w:cs="Times New Roman" w:eastAsia="Times New Roman" w:hAnsi="Times New Roman"/>
          <w:sz w:val="24"/>
          <w:szCs w:val="24"/>
          <w:highlight w:val="lightGray"/>
          <w:rtl w:val="0"/>
        </w:rPr>
        <w:t xml:space="preserve">MÁRIO SOARES DE ALENCAR</w:t>
      </w:r>
    </w:p>
    <w:p>
      <w:pPr>
        <w:spacing w:after="0" w:before="0" w:line="360" w:lineRule="auto"/>
        <w:ind w:firstLine="0"/>
        <w:jc w:val="center"/>
      </w:pPr>
      <w:r>
        <w:rPr>
          <w:rFonts w:ascii="Times New Roman" w:cs="Times New Roman" w:eastAsia="Times New Roman" w:hAnsi="Times New Roman"/>
          <w:sz w:val="24"/>
          <w:szCs w:val="24"/>
          <w:rtl w:val="0"/>
        </w:rPr>
        <w:t xml:space="preserve">Juiz de Direito</w:t>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 Id="rId100" Type="http://schemas.openxmlformats.org/officeDocument/2006/relationships/hyperlink" Target="https://processo.stj.jus.br/repetitivos/temas_repetitivos/pesquisa.jsp?novaConsulta=true&amp;tipo_pesquisa=T&amp;cod_tema_inicial=629&amp;cod_tema_final=629" TargetMode="External"/><Relationship Id="rId101" Type="http://schemas.openxmlformats.org/officeDocument/2006/relationships/hyperlink" Target="https://www.planalto.gov.br/ccivil_03/leis/l8213co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