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0802594-31.2025.8.18.0056 | AUTOR(A): DEUSDETE CAMILO DA SILVA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Ato recomendado antes da sentença. Fundamentos: o autor protestou por prova testemunhal (ID 84408505, p. 7); a decisão de ID 87179964 afirmou ser necessária a instrução para comprovar a qualidade de segurado especial; o único documento rural anterior à incapacidade é a DAP de 2005. Sentenciar sem audiência expõe a sentença a anulação por cerceamento de defesa. Preencher data e hora da audiência.</w:t>
      </w:r>
    </w:p>
    <w:p>
      <w:pPr>
        <w:spacing w:after="0" w:before="240" w:line="360" w:lineRule="auto"/>
        <w:jc w:val="center"/>
      </w:pPr>
      <w:r>
        <w:rPr>
          <w:rFonts w:ascii="Times New Roman" w:cs="Times New Roman" w:eastAsia="Times New Roman" w:hAnsi="Times New Roman"/>
          <w:b w:val="1"/>
          <w:bCs w:val="1"/>
          <w:sz w:val="24"/>
          <w:szCs w:val="24"/>
          <w:rtl w:val="0"/>
        </w:rPr>
        <w:t xml:space="preserve">DECISÃO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em que a parte autora, alegando a condição de segurado especial, postula aposentadoria por incapacidade permanente ou, subsidiariamente, auxílio por incapacidade temporária ou auxílio-acidente. Realizada a perícia (ID 97316519), o INSS foi citado (ID 97340395) e contestou (ID 98931582); a parte autora replicou (ID 98988852). Passo ao saneamento do processo (art. 357 do CPC).</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1. Das questões processuais pendentes.</w:t>
      </w:r>
      <w:r>
        <w:rPr>
          <w:rFonts w:ascii="Times New Roman" w:cs="Times New Roman" w:eastAsia="Times New Roman" w:hAnsi="Times New Roman"/>
          <w:sz w:val="24"/>
          <w:szCs w:val="24"/>
          <w:rtl w:val="0"/>
        </w:rPr>
        <w:t xml:space="preserve"> O INSS arguiu preliminares que não procedem. A perícia judicial precedeu a citação (IDs 97316519 e 97340395), em observância ao art. 129-A da Lei nº 8.213/1991. A petição inicial descreve a doença e suas limitações, indica a atividade de lavrador para a qual o autor alega estar incapacitado, declara a inexistência de ação anterior idêntica e vem instruída com a comunicação de indeferimento e a documentação médica (IDs 84408505, 84408536 e 84408539), atendendo aos incisos I e II do mesmo artigo. Por fim, não se trata de cessação de benefício sem pedido de prorrogação, mas de indeferimento expresso de requerimento de concessão (ID 84408536), o que configura o interesse de agir. Rejeito, pois, as preliminares. A prescrição será examinada na sentença.</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2. Das questões de fato controvertidas.</w:t>
      </w:r>
      <w:r>
        <w:rPr>
          <w:rFonts w:ascii="Times New Roman" w:cs="Times New Roman" w:eastAsia="Times New Roman" w:hAnsi="Times New Roman"/>
          <w:sz w:val="24"/>
          <w:szCs w:val="24"/>
          <w:rtl w:val="0"/>
        </w:rPr>
        <w:t xml:space="preserve"> A incapacidade total e permanente do autor está demonstrada pelo laudo judicial (ID 97316519), que o INSS não impugnou, e foi reconhecida pela própria perícia administrativa, que fixou seu início em 10/04/2024 (IDs 84408536 e 98931583); não constitui, por isso, ponto controvertido. A controvérsia recai sobre a qualidade de segurado especial do autor na data de início da incapacidade, fundamento do indeferimento administrativo (ID 84408536), e compreende: (a) o exercício de atividade rural em regime de economia familiar, sua localização e o período trabalhado, em especial nos 12 meses anteriores a 10/04/2024; (b) a data em que o autor deixou a atividade rural, se for o caso; (c) a composição do grupo familiar e o local de residência.</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3. Do ônus da prova.</w:t>
      </w:r>
      <w:r>
        <w:rPr>
          <w:rFonts w:ascii="Times New Roman" w:cs="Times New Roman" w:eastAsia="Times New Roman" w:hAnsi="Times New Roman"/>
          <w:sz w:val="24"/>
          <w:szCs w:val="24"/>
          <w:rtl w:val="0"/>
        </w:rPr>
        <w:t xml:space="preserve"> Cabe ao autor a prova do fato constitutivo de seu direito (art. 373, I, do CPC).</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4. Dos meios de prova.</w:t>
      </w:r>
      <w:r>
        <w:rPr>
          <w:rFonts w:ascii="Times New Roman" w:cs="Times New Roman" w:eastAsia="Times New Roman" w:hAnsi="Times New Roman"/>
          <w:sz w:val="24"/>
          <w:szCs w:val="24"/>
          <w:rtl w:val="0"/>
        </w:rPr>
        <w:t xml:space="preserve"> Defiro a produção de prova oral (depoimento pessoal do autor e prova testemunhal) e de prova documental suplementar. Designo audiência de instrução e julgamento para </w:t>
      </w:r>
      <w:r>
        <w:rPr>
          <w:rFonts w:ascii="Times New Roman" w:cs="Times New Roman" w:eastAsia="Times New Roman" w:hAnsi="Times New Roman"/>
          <w:sz w:val="24"/>
          <w:szCs w:val="24"/>
          <w:highlight w:val="lightGray"/>
          <w:rtl w:val="0"/>
        </w:rPr>
        <w:t xml:space="preserve">«DD/MM/AAAA, às HHhMM»</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highlight w:val="lightGray"/>
          <w:rtl w:val="0"/>
        </w:rPr>
        <w:t xml:space="preserve">«na sala de audiências deste Juízo | por videoconferência»</w:t>
      </w:r>
      <w:r>
        <w:rPr>
          <w:rFonts w:ascii="Times New Roman" w:cs="Times New Roman" w:eastAsia="Times New Roman" w:hAnsi="Times New Roman"/>
          <w:sz w:val="24"/>
          <w:szCs w:val="24"/>
          <w:rtl w:val="0"/>
        </w:rPr>
        <w:t xml:space="preserve">. As partes apresentarão o rol de testemunhas no prazo comum de 15 (quinze) dias (art. 357, § 4º, do CPC), no máximo de 3 (três) para a prova de cada fato (art. 357, § 6º, do CPC), cabendo ao advogado informar ou intimar a testemunha por ele arrolada (art. 455 do CPC).</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5. Da prova documental.</w:t>
      </w:r>
      <w:r>
        <w:rPr>
          <w:rFonts w:ascii="Times New Roman" w:cs="Times New Roman" w:eastAsia="Times New Roman" w:hAnsi="Times New Roman"/>
          <w:sz w:val="24"/>
          <w:szCs w:val="24"/>
          <w:rtl w:val="0"/>
        </w:rPr>
        <w:t xml:space="preserve"> Faculto ao autor, no mesmo prazo, juntar: a) a CTPS; b) cópia integral do processo administrativo do NB 716.427.609-0; c) documentos relativos ao Assentamento Tinguis que demonstrem a titularidade ou a posse da área cedida em comodato e o vínculo do autor com ela; d) a folha-resumo do Cadastro Único; e) declaração do sindicato de trabalhadores rurais; f) outros documentos que indiquem atividade rural do autor ou de seu grupo familiar entre 2012 e 2024. Juntados documentos, intime-se o INSS para manifestação em 15 (quinze) dias (art. 437, § 1º, do CPC).</w:t>
      </w:r>
    </w:p>
    <w:p>
      <w:pPr>
        <w:widowControl w:val="1"/>
        <w:spacing w:after="0" w:before="0" w:line="360" w:lineRule="auto"/>
        <w:ind w:left="0" w:right="0" w:firstLine="709"/>
        <w:jc w:val="both"/>
      </w:pPr>
      <w:r>
        <w:rPr>
          <w:rFonts w:ascii="Times New Roman" w:cs="Times New Roman" w:eastAsia="Times New Roman" w:hAnsi="Times New Roman"/>
          <w:b w:val="1"/>
          <w:bCs w:val="1"/>
          <w:sz w:val="24"/>
          <w:szCs w:val="24"/>
          <w:rtl w:val="0"/>
        </w:rPr>
        <w:t xml:space="preserve">6. Das providências finais.</w:t>
      </w:r>
      <w:r>
        <w:rPr>
          <w:rFonts w:ascii="Times New Roman" w:cs="Times New Roman" w:eastAsia="Times New Roman" w:hAnsi="Times New Roman"/>
          <w:sz w:val="24"/>
          <w:szCs w:val="24"/>
          <w:rtl w:val="0"/>
        </w:rPr>
        <w:t xml:space="preserve"> Retifique-se a autuação para incluir o assunto "Aposentadoria por Incapacidade Permanente", objeto do pedido principal. As intimações da parte autora serão feitas em nome da advogada Mariana Feitosa Carvalho, conforme requerido (ID 84408505). As partes poderão pedir esclarecimentos ou ajustes no prazo comum de 5 (cinco) dias (art. 357, § 1º, do CPC).</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Intimem-se. Cumpra-se.</w:t>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