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B0FB" w14:textId="7AAB2F8A" w:rsidR="0008468D" w:rsidRPr="00C51609" w:rsidRDefault="0008468D"/>
    <w:p w14:paraId="3C27708A" w14:textId="77777777" w:rsidR="006C1928" w:rsidRPr="00C952C2" w:rsidRDefault="00DD316D" w:rsidP="00DD316D">
      <w:pPr>
        <w:ind w:left="5387" w:firstLine="283"/>
        <w:jc w:val="right"/>
        <w:rPr>
          <w:sz w:val="20"/>
          <w:szCs w:val="20"/>
        </w:rPr>
      </w:pPr>
      <w:bookmarkStart w:id="0" w:name="_Hlk61697195"/>
      <w:r w:rsidRPr="00C952C2">
        <w:rPr>
          <w:sz w:val="20"/>
          <w:szCs w:val="20"/>
        </w:rPr>
        <w:t>Додаток 1 до Договор</w:t>
      </w:r>
      <w:r w:rsidR="007B36F8">
        <w:rPr>
          <w:sz w:val="20"/>
          <w:szCs w:val="20"/>
        </w:rPr>
        <w:t>у</w:t>
      </w:r>
      <w:r w:rsidRPr="00C952C2">
        <w:rPr>
          <w:sz w:val="20"/>
          <w:szCs w:val="20"/>
        </w:rPr>
        <w:t xml:space="preserve"> про постачання електричної енергії споживачу </w:t>
      </w:r>
    </w:p>
    <w:p w14:paraId="50153294" w14:textId="429BAFFF" w:rsidR="00815CB9" w:rsidRPr="006967B6" w:rsidRDefault="00DD316D" w:rsidP="00B90447">
      <w:pPr>
        <w:ind w:left="5387" w:firstLine="283"/>
        <w:jc w:val="right"/>
        <w:rPr>
          <w:b/>
          <w:sz w:val="20"/>
          <w:szCs w:val="20"/>
          <w:lang w:val="ru-RU"/>
        </w:rPr>
      </w:pPr>
      <w:r w:rsidRPr="00C952C2">
        <w:rPr>
          <w:sz w:val="20"/>
          <w:szCs w:val="20"/>
        </w:rPr>
        <w:t xml:space="preserve">від </w:t>
      </w:r>
      <w:bookmarkStart w:id="1" w:name="_Hlk73113588"/>
      <w:bookmarkEnd w:id="0"/>
      <w:r w:rsidR="00B90447" w:rsidRPr="00C952C2">
        <w:rPr>
          <w:sz w:val="20"/>
          <w:szCs w:val="20"/>
        </w:rPr>
        <w:t>«</w:t>
      </w:r>
      <w:r w:rsidR="007E7898">
        <w:rPr>
          <w:sz w:val="20"/>
          <w:szCs w:val="20"/>
          <w:lang w:val="ru-RU"/>
        </w:rPr>
        <w:t>___</w:t>
      </w:r>
      <w:r w:rsidR="00B90447" w:rsidRPr="00C952C2">
        <w:rPr>
          <w:sz w:val="20"/>
          <w:szCs w:val="20"/>
        </w:rPr>
        <w:t xml:space="preserve">» </w:t>
      </w:r>
      <w:r w:rsidR="007E7898">
        <w:rPr>
          <w:sz w:val="20"/>
          <w:szCs w:val="20"/>
        </w:rPr>
        <w:t>_________</w:t>
      </w:r>
      <w:r w:rsidR="00B90447" w:rsidRPr="00C952C2">
        <w:rPr>
          <w:sz w:val="20"/>
          <w:szCs w:val="20"/>
        </w:rPr>
        <w:t xml:space="preserve"> 20</w:t>
      </w:r>
      <w:r w:rsidR="007E7898">
        <w:rPr>
          <w:sz w:val="20"/>
          <w:szCs w:val="20"/>
        </w:rPr>
        <w:t>___</w:t>
      </w:r>
      <w:r w:rsidR="00B90447" w:rsidRPr="00C952C2">
        <w:rPr>
          <w:sz w:val="20"/>
          <w:szCs w:val="20"/>
        </w:rPr>
        <w:t xml:space="preserve"> р. № </w:t>
      </w:r>
      <w:bookmarkEnd w:id="1"/>
      <w:r w:rsidR="007E7898">
        <w:rPr>
          <w:sz w:val="20"/>
          <w:szCs w:val="20"/>
        </w:rPr>
        <w:t>_________</w:t>
      </w:r>
    </w:p>
    <w:p w14:paraId="58422670" w14:textId="77777777" w:rsidR="007B36F8" w:rsidRDefault="007B36F8" w:rsidP="000126BA">
      <w:pPr>
        <w:jc w:val="center"/>
        <w:rPr>
          <w:b/>
          <w:sz w:val="20"/>
          <w:szCs w:val="20"/>
        </w:rPr>
      </w:pPr>
    </w:p>
    <w:p w14:paraId="7CC98C3F" w14:textId="2455EE09" w:rsidR="00455463" w:rsidRPr="00C952C2" w:rsidRDefault="00BE7F51" w:rsidP="000126BA">
      <w:pPr>
        <w:jc w:val="center"/>
        <w:rPr>
          <w:b/>
          <w:sz w:val="20"/>
          <w:szCs w:val="20"/>
        </w:rPr>
      </w:pPr>
      <w:r w:rsidRPr="00C952C2">
        <w:rPr>
          <w:b/>
          <w:sz w:val="20"/>
          <w:szCs w:val="20"/>
        </w:rPr>
        <w:t>КОМЕРЦІЙНА ПРОПОЗИЦІЯ</w:t>
      </w:r>
      <w:r w:rsidR="00DD316D" w:rsidRPr="00C952C2">
        <w:rPr>
          <w:b/>
          <w:sz w:val="20"/>
          <w:szCs w:val="20"/>
        </w:rPr>
        <w:t xml:space="preserve"> </w:t>
      </w:r>
      <w:r w:rsidR="00FE29E1">
        <w:rPr>
          <w:b/>
          <w:sz w:val="20"/>
          <w:szCs w:val="20"/>
        </w:rPr>
        <w:t xml:space="preserve">(для споживача групи </w:t>
      </w:r>
      <w:r w:rsidR="00FB2D47">
        <w:rPr>
          <w:b/>
          <w:sz w:val="20"/>
          <w:szCs w:val="20"/>
        </w:rPr>
        <w:t>Б)</w:t>
      </w:r>
    </w:p>
    <w:p w14:paraId="5B164CDD" w14:textId="40A205AC" w:rsidR="00FA2B08" w:rsidRPr="00C952C2" w:rsidRDefault="00FA2B08" w:rsidP="00FA2B08">
      <w:pPr>
        <w:jc w:val="center"/>
        <w:rPr>
          <w:b/>
          <w:sz w:val="20"/>
          <w:szCs w:val="20"/>
          <w:lang w:val="ru-RU"/>
        </w:rPr>
      </w:pPr>
      <w:r w:rsidRPr="00C952C2">
        <w:rPr>
          <w:b/>
          <w:sz w:val="20"/>
          <w:szCs w:val="20"/>
        </w:rPr>
        <w:t xml:space="preserve">від </w:t>
      </w:r>
      <w:r w:rsidR="007E7898">
        <w:rPr>
          <w:b/>
          <w:sz w:val="20"/>
          <w:szCs w:val="20"/>
          <w:lang w:val="ru-RU"/>
        </w:rPr>
        <w:t>__</w:t>
      </w:r>
      <w:r w:rsidRPr="00C952C2">
        <w:rPr>
          <w:b/>
          <w:sz w:val="20"/>
          <w:szCs w:val="20"/>
        </w:rPr>
        <w:t xml:space="preserve"> </w:t>
      </w:r>
      <w:r w:rsidR="007E7898">
        <w:rPr>
          <w:b/>
          <w:sz w:val="20"/>
          <w:szCs w:val="20"/>
        </w:rPr>
        <w:t>__________</w:t>
      </w:r>
      <w:r w:rsidRPr="00C952C2">
        <w:rPr>
          <w:b/>
          <w:sz w:val="20"/>
          <w:szCs w:val="20"/>
        </w:rPr>
        <w:t xml:space="preserve"> 20</w:t>
      </w:r>
      <w:r w:rsidR="007E7898">
        <w:rPr>
          <w:b/>
          <w:sz w:val="20"/>
          <w:szCs w:val="20"/>
        </w:rPr>
        <w:t>___</w:t>
      </w:r>
      <w:r w:rsidRPr="00C952C2">
        <w:rPr>
          <w:b/>
          <w:sz w:val="20"/>
          <w:szCs w:val="20"/>
        </w:rPr>
        <w:t xml:space="preserve"> року </w:t>
      </w:r>
    </w:p>
    <w:p w14:paraId="018F9D6B" w14:textId="4DDC883B" w:rsidR="00FA2B08" w:rsidRDefault="00FA2B08" w:rsidP="00FA2B08">
      <w:pPr>
        <w:jc w:val="center"/>
        <w:rPr>
          <w:b/>
          <w:sz w:val="20"/>
          <w:szCs w:val="20"/>
        </w:rPr>
      </w:pPr>
      <w:r w:rsidRPr="00C952C2">
        <w:rPr>
          <w:b/>
          <w:sz w:val="20"/>
          <w:szCs w:val="20"/>
        </w:rPr>
        <w:t xml:space="preserve">для </w:t>
      </w:r>
      <w:r w:rsidR="007E7898">
        <w:rPr>
          <w:b/>
          <w:sz w:val="20"/>
          <w:szCs w:val="20"/>
        </w:rPr>
        <w:t>_____________________________________________</w:t>
      </w:r>
    </w:p>
    <w:p w14:paraId="50050C9F" w14:textId="77777777" w:rsidR="00FE29E1" w:rsidRDefault="00FE29E1" w:rsidP="00FA2B08">
      <w:pPr>
        <w:jc w:val="center"/>
        <w:rPr>
          <w:b/>
          <w:sz w:val="20"/>
          <w:szCs w:val="20"/>
        </w:rPr>
      </w:pPr>
    </w:p>
    <w:p w14:paraId="119A669E" w14:textId="77777777" w:rsidR="00FB2D47" w:rsidRPr="00FB2D47" w:rsidRDefault="00FE29E1" w:rsidP="00FB2D47">
      <w:pPr>
        <w:jc w:val="both"/>
        <w:rPr>
          <w:bCs/>
          <w:i/>
          <w:iCs/>
          <w:sz w:val="20"/>
          <w:szCs w:val="20"/>
        </w:rPr>
      </w:pPr>
      <w:r>
        <w:rPr>
          <w:bCs/>
          <w:i/>
          <w:iCs/>
          <w:sz w:val="20"/>
          <w:szCs w:val="20"/>
        </w:rPr>
        <w:t>*</w:t>
      </w:r>
      <w:r w:rsidR="00FB2D47" w:rsidRPr="00FB2D47">
        <w:rPr>
          <w:bCs/>
          <w:i/>
          <w:iCs/>
          <w:sz w:val="20"/>
          <w:szCs w:val="20"/>
        </w:rPr>
        <w:t>Дана Комерційна пропозиція розроблена відповідно до Закону України «Про ринок електричної енергії»</w:t>
      </w:r>
    </w:p>
    <w:p w14:paraId="4838AD05" w14:textId="06004F56" w:rsidR="00FB2D47" w:rsidRPr="00FB2D47" w:rsidRDefault="00FB2D47" w:rsidP="00FB2D47">
      <w:pPr>
        <w:jc w:val="both"/>
        <w:rPr>
          <w:bCs/>
          <w:i/>
          <w:iCs/>
          <w:sz w:val="20"/>
          <w:szCs w:val="20"/>
        </w:rPr>
      </w:pPr>
      <w:r w:rsidRPr="00FB2D47">
        <w:rPr>
          <w:bCs/>
          <w:i/>
          <w:iCs/>
          <w:sz w:val="20"/>
          <w:szCs w:val="20"/>
        </w:rPr>
        <w:t>та Правил роздрібного ринку електричної енергії, затверджених Постановою НКРЕКП від 14.03.2018р. №312 із</w:t>
      </w:r>
      <w:r>
        <w:rPr>
          <w:bCs/>
          <w:i/>
          <w:iCs/>
          <w:sz w:val="20"/>
          <w:szCs w:val="20"/>
        </w:rPr>
        <w:t xml:space="preserve"> </w:t>
      </w:r>
      <w:r w:rsidRPr="00FB2D47">
        <w:rPr>
          <w:bCs/>
          <w:i/>
          <w:iCs/>
          <w:sz w:val="20"/>
          <w:szCs w:val="20"/>
        </w:rPr>
        <w:t>змінами та доповненнями (далі – ПРРЕЕ).</w:t>
      </w:r>
    </w:p>
    <w:p w14:paraId="415272A8" w14:textId="77777777" w:rsidR="00FB2D47" w:rsidRPr="00FB2D47" w:rsidRDefault="00FB2D47" w:rsidP="00FB2D47">
      <w:pPr>
        <w:jc w:val="both"/>
        <w:rPr>
          <w:bCs/>
          <w:i/>
          <w:iCs/>
          <w:sz w:val="20"/>
          <w:szCs w:val="20"/>
        </w:rPr>
      </w:pPr>
      <w:r w:rsidRPr="00FB2D47">
        <w:rPr>
          <w:bCs/>
          <w:i/>
          <w:iCs/>
          <w:sz w:val="20"/>
          <w:szCs w:val="20"/>
        </w:rPr>
        <w:t>Критерії, яким має відповідати споживач для можливості обрання цієї Комерційної пропозиції:</w:t>
      </w:r>
    </w:p>
    <w:p w14:paraId="130568B5" w14:textId="77777777" w:rsidR="00FB2D47" w:rsidRPr="00FB2D47" w:rsidRDefault="00FB2D47" w:rsidP="00FB2D47">
      <w:pPr>
        <w:jc w:val="both"/>
        <w:rPr>
          <w:bCs/>
          <w:i/>
          <w:iCs/>
          <w:sz w:val="20"/>
          <w:szCs w:val="20"/>
        </w:rPr>
      </w:pPr>
      <w:r w:rsidRPr="00FB2D47">
        <w:rPr>
          <w:bCs/>
          <w:i/>
          <w:iCs/>
          <w:sz w:val="20"/>
          <w:szCs w:val="20"/>
        </w:rPr>
        <w:t>- споживач є діючим суб’єктом господарювання;</w:t>
      </w:r>
    </w:p>
    <w:p w14:paraId="518E9AC8" w14:textId="77777777" w:rsidR="00FB2D47" w:rsidRPr="00FB2D47" w:rsidRDefault="00FB2D47" w:rsidP="00FB2D47">
      <w:pPr>
        <w:jc w:val="both"/>
        <w:rPr>
          <w:bCs/>
          <w:i/>
          <w:iCs/>
          <w:sz w:val="20"/>
          <w:szCs w:val="20"/>
        </w:rPr>
      </w:pPr>
      <w:r w:rsidRPr="00FB2D47">
        <w:rPr>
          <w:bCs/>
          <w:i/>
          <w:iCs/>
          <w:sz w:val="20"/>
          <w:szCs w:val="20"/>
        </w:rPr>
        <w:t>- споживач є власником (користувачем) об’єкта, на який здійснюється електропостачання;</w:t>
      </w:r>
    </w:p>
    <w:p w14:paraId="66D4B8E1" w14:textId="77777777" w:rsidR="00FB2D47" w:rsidRPr="00FB2D47" w:rsidRDefault="00FB2D47" w:rsidP="00FB2D47">
      <w:pPr>
        <w:jc w:val="both"/>
        <w:rPr>
          <w:bCs/>
          <w:i/>
          <w:iCs/>
          <w:sz w:val="20"/>
          <w:szCs w:val="20"/>
        </w:rPr>
      </w:pPr>
      <w:r w:rsidRPr="00FB2D47">
        <w:rPr>
          <w:bCs/>
          <w:i/>
          <w:iCs/>
          <w:sz w:val="20"/>
          <w:szCs w:val="20"/>
        </w:rPr>
        <w:t>- споживач є стороною діючого договору про надання послуг з розподілу (передачі) електричної енергії;</w:t>
      </w:r>
    </w:p>
    <w:p w14:paraId="09C581DC" w14:textId="77777777" w:rsidR="00FB2D47" w:rsidRPr="00FB2D47" w:rsidRDefault="00FB2D47" w:rsidP="00FB2D47">
      <w:pPr>
        <w:jc w:val="both"/>
        <w:rPr>
          <w:bCs/>
          <w:i/>
          <w:iCs/>
          <w:sz w:val="20"/>
          <w:szCs w:val="20"/>
        </w:rPr>
      </w:pPr>
      <w:r w:rsidRPr="00FB2D47">
        <w:rPr>
          <w:bCs/>
          <w:i/>
          <w:iCs/>
          <w:sz w:val="20"/>
          <w:szCs w:val="20"/>
        </w:rPr>
        <w:t>- наявний облік електричної енергії відповідає вимогам Комерційного обліку та забезпечує можливість</w:t>
      </w:r>
    </w:p>
    <w:p w14:paraId="79137A88" w14:textId="77777777" w:rsidR="00FB2D47" w:rsidRPr="00FB2D47" w:rsidRDefault="00FB2D47" w:rsidP="00FB2D47">
      <w:pPr>
        <w:jc w:val="both"/>
        <w:rPr>
          <w:bCs/>
          <w:i/>
          <w:iCs/>
          <w:sz w:val="20"/>
          <w:szCs w:val="20"/>
        </w:rPr>
      </w:pPr>
      <w:r w:rsidRPr="00FB2D47">
        <w:rPr>
          <w:bCs/>
          <w:i/>
          <w:iCs/>
          <w:sz w:val="20"/>
          <w:szCs w:val="20"/>
        </w:rPr>
        <w:t>застосування цін (тарифів), передбачених даною Комерційною пропозицією;</w:t>
      </w:r>
    </w:p>
    <w:p w14:paraId="7B50BAA6" w14:textId="77777777" w:rsidR="00FB2D47" w:rsidRPr="00FB2D47" w:rsidRDefault="00FB2D47" w:rsidP="00FB2D47">
      <w:pPr>
        <w:jc w:val="both"/>
        <w:rPr>
          <w:bCs/>
          <w:i/>
          <w:iCs/>
          <w:sz w:val="20"/>
          <w:szCs w:val="20"/>
        </w:rPr>
      </w:pPr>
      <w:r w:rsidRPr="00FB2D47">
        <w:rPr>
          <w:bCs/>
          <w:i/>
          <w:iCs/>
          <w:sz w:val="20"/>
          <w:szCs w:val="20"/>
        </w:rPr>
        <w:t>- у Споживача відсутня неврегульована та/або прострочена заборгованість за договором про постачання</w:t>
      </w:r>
    </w:p>
    <w:p w14:paraId="63156D43" w14:textId="77777777" w:rsidR="00FB2D47" w:rsidRPr="00FB2D47" w:rsidRDefault="00FB2D47" w:rsidP="00FB2D47">
      <w:pPr>
        <w:jc w:val="both"/>
        <w:rPr>
          <w:bCs/>
          <w:i/>
          <w:iCs/>
          <w:sz w:val="20"/>
          <w:szCs w:val="20"/>
        </w:rPr>
      </w:pPr>
      <w:r w:rsidRPr="00FB2D47">
        <w:rPr>
          <w:bCs/>
          <w:i/>
          <w:iCs/>
          <w:sz w:val="20"/>
          <w:szCs w:val="20"/>
        </w:rPr>
        <w:t>електричної енергії перед іншим постачальником або про надання послуг системи розподілу/передачі;</w:t>
      </w:r>
    </w:p>
    <w:p w14:paraId="480D8007" w14:textId="77777777" w:rsidR="00FB2D47" w:rsidRPr="00FB2D47" w:rsidRDefault="00FB2D47" w:rsidP="00FB2D47">
      <w:pPr>
        <w:jc w:val="both"/>
        <w:rPr>
          <w:bCs/>
          <w:i/>
          <w:iCs/>
          <w:sz w:val="20"/>
          <w:szCs w:val="20"/>
        </w:rPr>
      </w:pPr>
      <w:r w:rsidRPr="00FB2D47">
        <w:rPr>
          <w:bCs/>
          <w:i/>
          <w:iCs/>
          <w:sz w:val="20"/>
          <w:szCs w:val="20"/>
        </w:rPr>
        <w:t>Якщо в процесі виконання Договору Постачальником буде встановлено невідповідність Споживача</w:t>
      </w:r>
    </w:p>
    <w:p w14:paraId="48F55A78" w14:textId="77777777" w:rsidR="00FB2D47" w:rsidRPr="00FB2D47" w:rsidRDefault="00FB2D47" w:rsidP="00FB2D47">
      <w:pPr>
        <w:jc w:val="both"/>
        <w:rPr>
          <w:bCs/>
          <w:i/>
          <w:iCs/>
          <w:sz w:val="20"/>
          <w:szCs w:val="20"/>
        </w:rPr>
      </w:pPr>
      <w:r w:rsidRPr="00FB2D47">
        <w:rPr>
          <w:bCs/>
          <w:i/>
          <w:iCs/>
          <w:sz w:val="20"/>
          <w:szCs w:val="20"/>
        </w:rPr>
        <w:t>положенням обраної Комерційної пропозиції, Споживач повинен впродовж 5 робочих днів з дати отримання</w:t>
      </w:r>
    </w:p>
    <w:p w14:paraId="7D96D142" w14:textId="7C388F08" w:rsidR="00FC7A50" w:rsidRPr="00FE29E1" w:rsidRDefault="00FB2D47" w:rsidP="00FB2D47">
      <w:pPr>
        <w:jc w:val="both"/>
        <w:rPr>
          <w:bCs/>
          <w:i/>
          <w:iCs/>
          <w:sz w:val="20"/>
          <w:szCs w:val="20"/>
        </w:rPr>
      </w:pPr>
      <w:r w:rsidRPr="00FB2D47">
        <w:rPr>
          <w:bCs/>
          <w:i/>
          <w:iCs/>
          <w:sz w:val="20"/>
          <w:szCs w:val="20"/>
        </w:rPr>
        <w:t>такого повідомлення Постачальника, обрати іншу Комерційну пропозицію, повідомивши Постачальника шляхом</w:t>
      </w:r>
      <w:r>
        <w:rPr>
          <w:bCs/>
          <w:i/>
          <w:iCs/>
          <w:sz w:val="20"/>
          <w:szCs w:val="20"/>
        </w:rPr>
        <w:t xml:space="preserve"> </w:t>
      </w:r>
      <w:r w:rsidRPr="00FB2D47">
        <w:rPr>
          <w:bCs/>
          <w:i/>
          <w:iCs/>
          <w:sz w:val="20"/>
          <w:szCs w:val="20"/>
        </w:rPr>
        <w:t>надання відповідної Заяви-приєднання.</w:t>
      </w:r>
      <w:r w:rsidRPr="00FB2D47">
        <w:rPr>
          <w:bCs/>
          <w:i/>
          <w:iCs/>
          <w:sz w:val="20"/>
          <w:szCs w:val="20"/>
        </w:rPr>
        <w:cr/>
      </w:r>
    </w:p>
    <w:tbl>
      <w:tblPr>
        <w:tblW w:w="9639" w:type="dxa"/>
        <w:tblInd w:w="108" w:type="dxa"/>
        <w:tblBorders>
          <w:insideH w:val="single" w:sz="4" w:space="0" w:color="13133D"/>
        </w:tblBorders>
        <w:tblLook w:val="01E0" w:firstRow="1" w:lastRow="1" w:firstColumn="1" w:lastColumn="1" w:noHBand="0" w:noVBand="0"/>
      </w:tblPr>
      <w:tblGrid>
        <w:gridCol w:w="2552"/>
        <w:gridCol w:w="7087"/>
      </w:tblGrid>
      <w:tr w:rsidR="007C620A" w:rsidRPr="00C952C2" w14:paraId="76CAFA88" w14:textId="77777777" w:rsidTr="0032385E">
        <w:trPr>
          <w:trHeight w:val="159"/>
        </w:trPr>
        <w:tc>
          <w:tcPr>
            <w:tcW w:w="2552" w:type="dxa"/>
            <w:tcBorders>
              <w:top w:val="single" w:sz="4" w:space="0" w:color="13133D"/>
              <w:bottom w:val="single" w:sz="4" w:space="0" w:color="13133D"/>
            </w:tcBorders>
            <w:shd w:val="clear" w:color="auto" w:fill="auto"/>
            <w:vAlign w:val="center"/>
          </w:tcPr>
          <w:p w14:paraId="1DE6C472" w14:textId="77777777" w:rsidR="007E51FD" w:rsidRPr="00C952C2" w:rsidRDefault="007E51FD" w:rsidP="0096217A">
            <w:pPr>
              <w:jc w:val="center"/>
              <w:rPr>
                <w:b/>
                <w:sz w:val="20"/>
                <w:szCs w:val="20"/>
              </w:rPr>
            </w:pPr>
            <w:r w:rsidRPr="00C952C2">
              <w:rPr>
                <w:b/>
                <w:sz w:val="20"/>
                <w:szCs w:val="20"/>
              </w:rPr>
              <w:t>Умова</w:t>
            </w:r>
          </w:p>
        </w:tc>
        <w:tc>
          <w:tcPr>
            <w:tcW w:w="7087" w:type="dxa"/>
            <w:tcBorders>
              <w:top w:val="single" w:sz="4" w:space="0" w:color="13133D"/>
              <w:bottom w:val="single" w:sz="4" w:space="0" w:color="13133D"/>
            </w:tcBorders>
            <w:shd w:val="clear" w:color="auto" w:fill="auto"/>
            <w:vAlign w:val="center"/>
          </w:tcPr>
          <w:p w14:paraId="390B04FC" w14:textId="77777777" w:rsidR="007E51FD" w:rsidRPr="00C952C2" w:rsidRDefault="007E51FD" w:rsidP="0096217A">
            <w:pPr>
              <w:jc w:val="center"/>
              <w:rPr>
                <w:b/>
                <w:sz w:val="20"/>
                <w:szCs w:val="20"/>
              </w:rPr>
            </w:pPr>
            <w:r w:rsidRPr="00C952C2">
              <w:rPr>
                <w:b/>
                <w:sz w:val="20"/>
                <w:szCs w:val="20"/>
              </w:rPr>
              <w:t>Пропозиція</w:t>
            </w:r>
          </w:p>
        </w:tc>
      </w:tr>
      <w:tr w:rsidR="007C620A" w:rsidRPr="00C952C2" w14:paraId="60A7EF1A" w14:textId="77777777" w:rsidTr="0032385E">
        <w:trPr>
          <w:trHeight w:val="70"/>
        </w:trPr>
        <w:tc>
          <w:tcPr>
            <w:tcW w:w="2552" w:type="dxa"/>
            <w:tcBorders>
              <w:top w:val="single" w:sz="4" w:space="0" w:color="13133D"/>
              <w:bottom w:val="single" w:sz="4" w:space="0" w:color="13133D"/>
            </w:tcBorders>
            <w:vAlign w:val="center"/>
          </w:tcPr>
          <w:p w14:paraId="63FA1C14" w14:textId="77777777" w:rsidR="007E51FD" w:rsidRPr="00C952C2" w:rsidRDefault="007E51FD" w:rsidP="0096217A">
            <w:pPr>
              <w:rPr>
                <w:sz w:val="20"/>
                <w:szCs w:val="20"/>
              </w:rPr>
            </w:pPr>
            <w:r w:rsidRPr="00C952C2">
              <w:rPr>
                <w:b/>
                <w:sz w:val="20"/>
                <w:szCs w:val="20"/>
              </w:rPr>
              <w:t>1.</w:t>
            </w:r>
            <w:r w:rsidRPr="00C952C2">
              <w:rPr>
                <w:sz w:val="20"/>
                <w:szCs w:val="20"/>
              </w:rPr>
              <w:t xml:space="preserve"> Ціна на електричну енергію</w:t>
            </w:r>
          </w:p>
        </w:tc>
        <w:tc>
          <w:tcPr>
            <w:tcW w:w="7087" w:type="dxa"/>
            <w:tcBorders>
              <w:top w:val="single" w:sz="4" w:space="0" w:color="13133D"/>
              <w:bottom w:val="single" w:sz="4" w:space="0" w:color="13133D"/>
            </w:tcBorders>
          </w:tcPr>
          <w:p w14:paraId="2EE34A58" w14:textId="7F993F4C" w:rsidR="00A907F8" w:rsidRPr="00C952C2" w:rsidRDefault="00FE29E1" w:rsidP="002E4061">
            <w:pPr>
              <w:jc w:val="both"/>
              <w:rPr>
                <w:sz w:val="20"/>
                <w:szCs w:val="20"/>
              </w:rPr>
            </w:pPr>
            <w:r w:rsidRPr="00FE29E1">
              <w:rPr>
                <w:sz w:val="20"/>
                <w:szCs w:val="20"/>
              </w:rPr>
              <w:t xml:space="preserve">Ц = </w:t>
            </w:r>
            <w:r w:rsidR="001F5E26">
              <w:rPr>
                <w:sz w:val="20"/>
                <w:szCs w:val="20"/>
              </w:rPr>
              <w:t>_____</w:t>
            </w:r>
            <w:r w:rsidRPr="00FE29E1">
              <w:rPr>
                <w:sz w:val="20"/>
                <w:szCs w:val="20"/>
              </w:rPr>
              <w:t>грн/</w:t>
            </w:r>
            <w:proofErr w:type="spellStart"/>
            <w:r w:rsidRPr="00FE29E1">
              <w:rPr>
                <w:sz w:val="20"/>
                <w:szCs w:val="20"/>
              </w:rPr>
              <w:t>МВт∙год</w:t>
            </w:r>
            <w:proofErr w:type="spellEnd"/>
            <w:r w:rsidRPr="00FE29E1">
              <w:rPr>
                <w:sz w:val="20"/>
                <w:szCs w:val="20"/>
              </w:rPr>
              <w:t>. – фіксована ціна для обсягу спожитої Споживачем електричної енергії у відповідному розрахунковому періоді.</w:t>
            </w:r>
          </w:p>
        </w:tc>
      </w:tr>
      <w:tr w:rsidR="007C620A" w:rsidRPr="00C952C2" w14:paraId="29ED4642" w14:textId="77777777" w:rsidTr="0032385E">
        <w:tc>
          <w:tcPr>
            <w:tcW w:w="2552" w:type="dxa"/>
            <w:tcBorders>
              <w:bottom w:val="single" w:sz="4" w:space="0" w:color="13133D"/>
            </w:tcBorders>
            <w:vAlign w:val="center"/>
          </w:tcPr>
          <w:p w14:paraId="06511FEF" w14:textId="3D80626F" w:rsidR="00934FD6" w:rsidRPr="00C952C2" w:rsidRDefault="00FE29E1" w:rsidP="00934FD6">
            <w:pPr>
              <w:rPr>
                <w:sz w:val="20"/>
                <w:szCs w:val="20"/>
              </w:rPr>
            </w:pPr>
            <w:r>
              <w:rPr>
                <w:b/>
                <w:sz w:val="20"/>
                <w:szCs w:val="20"/>
              </w:rPr>
              <w:t>2</w:t>
            </w:r>
            <w:r w:rsidR="00934FD6" w:rsidRPr="00C952C2">
              <w:rPr>
                <w:b/>
                <w:sz w:val="20"/>
                <w:szCs w:val="20"/>
              </w:rPr>
              <w:t>.</w:t>
            </w:r>
            <w:r w:rsidR="00934FD6" w:rsidRPr="00C952C2">
              <w:rPr>
                <w:sz w:val="20"/>
                <w:szCs w:val="20"/>
              </w:rPr>
              <w:t xml:space="preserve"> Територія</w:t>
            </w:r>
            <w:r w:rsidR="00FC2E08" w:rsidRPr="00C952C2">
              <w:rPr>
                <w:sz w:val="20"/>
                <w:szCs w:val="20"/>
                <w:lang w:val="ru-RU"/>
              </w:rPr>
              <w:t>,</w:t>
            </w:r>
            <w:r w:rsidR="00934FD6" w:rsidRPr="00C952C2">
              <w:rPr>
                <w:sz w:val="20"/>
                <w:szCs w:val="20"/>
              </w:rPr>
              <w:t xml:space="preserve"> на якій дійсна дана комерційна пропозиція</w:t>
            </w:r>
          </w:p>
        </w:tc>
        <w:tc>
          <w:tcPr>
            <w:tcW w:w="7087" w:type="dxa"/>
            <w:tcBorders>
              <w:bottom w:val="single" w:sz="4" w:space="0" w:color="13133D"/>
            </w:tcBorders>
            <w:vAlign w:val="center"/>
          </w:tcPr>
          <w:p w14:paraId="7142C786" w14:textId="77777777" w:rsidR="00934FD6" w:rsidRPr="00C952C2" w:rsidRDefault="00934FD6" w:rsidP="00934FD6">
            <w:pPr>
              <w:pStyle w:val="DOC"/>
              <w:suppressAutoHyphens/>
              <w:spacing w:after="0"/>
              <w:ind w:firstLine="0"/>
              <w:jc w:val="left"/>
              <w:rPr>
                <w:color w:val="auto"/>
                <w:sz w:val="20"/>
                <w:szCs w:val="20"/>
              </w:rPr>
            </w:pPr>
            <w:r w:rsidRPr="00C952C2">
              <w:rPr>
                <w:color w:val="auto"/>
                <w:sz w:val="20"/>
                <w:szCs w:val="20"/>
              </w:rPr>
              <w:t>Територія України.</w:t>
            </w:r>
          </w:p>
        </w:tc>
      </w:tr>
      <w:tr w:rsidR="007C620A" w:rsidRPr="00C952C2" w14:paraId="4051EF8F" w14:textId="77777777" w:rsidTr="0032385E">
        <w:tc>
          <w:tcPr>
            <w:tcW w:w="2552" w:type="dxa"/>
            <w:tcBorders>
              <w:top w:val="single" w:sz="4" w:space="0" w:color="13133D"/>
              <w:bottom w:val="single" w:sz="4" w:space="0" w:color="13133D"/>
            </w:tcBorders>
            <w:vAlign w:val="center"/>
          </w:tcPr>
          <w:p w14:paraId="0EAD1F15" w14:textId="04442759" w:rsidR="00934FD6" w:rsidRPr="00C952C2" w:rsidRDefault="00FE29E1" w:rsidP="00934FD6">
            <w:pPr>
              <w:rPr>
                <w:sz w:val="20"/>
                <w:szCs w:val="20"/>
              </w:rPr>
            </w:pPr>
            <w:r>
              <w:rPr>
                <w:b/>
                <w:sz w:val="20"/>
                <w:szCs w:val="20"/>
              </w:rPr>
              <w:t>3</w:t>
            </w:r>
            <w:r w:rsidR="00934FD6" w:rsidRPr="00C952C2">
              <w:rPr>
                <w:b/>
                <w:sz w:val="20"/>
                <w:szCs w:val="20"/>
              </w:rPr>
              <w:t>.</w:t>
            </w:r>
            <w:r w:rsidR="00934FD6" w:rsidRPr="00C952C2">
              <w:rPr>
                <w:sz w:val="20"/>
                <w:szCs w:val="20"/>
              </w:rPr>
              <w:t xml:space="preserve"> Спосіб оплати</w:t>
            </w:r>
          </w:p>
        </w:tc>
        <w:tc>
          <w:tcPr>
            <w:tcW w:w="7087" w:type="dxa"/>
            <w:tcBorders>
              <w:top w:val="single" w:sz="4" w:space="0" w:color="13133D"/>
              <w:bottom w:val="single" w:sz="4" w:space="0" w:color="13133D"/>
            </w:tcBorders>
          </w:tcPr>
          <w:p w14:paraId="228E1896" w14:textId="77777777" w:rsidR="00934FD6" w:rsidRPr="00C952C2" w:rsidRDefault="00934FD6" w:rsidP="00934FD6">
            <w:pPr>
              <w:pStyle w:val="DOC"/>
              <w:suppressAutoHyphens/>
              <w:spacing w:after="0"/>
              <w:ind w:firstLine="0"/>
              <w:rPr>
                <w:rFonts w:cs="Courier New"/>
                <w:color w:val="auto"/>
                <w:sz w:val="20"/>
                <w:szCs w:val="20"/>
              </w:rPr>
            </w:pPr>
            <w:r w:rsidRPr="00C952C2">
              <w:rPr>
                <w:rFonts w:cs="Courier New"/>
                <w:color w:val="auto"/>
                <w:sz w:val="20"/>
                <w:szCs w:val="20"/>
              </w:rPr>
              <w:t xml:space="preserve">Оплату Заявленого до споживання </w:t>
            </w:r>
            <w:r w:rsidR="00383AF8" w:rsidRPr="00C952C2">
              <w:rPr>
                <w:rFonts w:cs="Courier New"/>
                <w:color w:val="auto"/>
                <w:sz w:val="20"/>
                <w:szCs w:val="20"/>
              </w:rPr>
              <w:t>у</w:t>
            </w:r>
            <w:r w:rsidRPr="00C952C2">
              <w:rPr>
                <w:rFonts w:cs="Courier New"/>
                <w:color w:val="auto"/>
                <w:sz w:val="20"/>
                <w:szCs w:val="20"/>
              </w:rPr>
              <w:t xml:space="preserve"> розрахунковому періоді обсягу електроенергії Споживач здійснює плановими </w:t>
            </w:r>
            <w:proofErr w:type="spellStart"/>
            <w:r w:rsidRPr="00C952C2">
              <w:rPr>
                <w:rFonts w:cs="Courier New"/>
                <w:color w:val="auto"/>
                <w:sz w:val="20"/>
                <w:szCs w:val="20"/>
              </w:rPr>
              <w:t>платежами</w:t>
            </w:r>
            <w:proofErr w:type="spellEnd"/>
            <w:r w:rsidRPr="00C952C2">
              <w:rPr>
                <w:rFonts w:cs="Courier New"/>
                <w:color w:val="auto"/>
                <w:sz w:val="20"/>
                <w:szCs w:val="20"/>
              </w:rPr>
              <w:t xml:space="preserve"> та </w:t>
            </w:r>
            <w:r w:rsidR="00991122" w:rsidRPr="00C952C2">
              <w:rPr>
                <w:rFonts w:cs="Courier New"/>
                <w:color w:val="auto"/>
                <w:sz w:val="20"/>
                <w:szCs w:val="20"/>
              </w:rPr>
              <w:t xml:space="preserve">остаточним </w:t>
            </w:r>
            <w:r w:rsidRPr="00C952C2">
              <w:rPr>
                <w:rFonts w:cs="Courier New"/>
                <w:color w:val="auto"/>
                <w:sz w:val="20"/>
                <w:szCs w:val="20"/>
              </w:rPr>
              <w:t>розрахунком по факту споживання.</w:t>
            </w:r>
          </w:p>
        </w:tc>
      </w:tr>
      <w:tr w:rsidR="007C620A" w:rsidRPr="00C952C2" w14:paraId="08B0E75E" w14:textId="77777777" w:rsidTr="0032385E">
        <w:trPr>
          <w:trHeight w:val="272"/>
        </w:trPr>
        <w:tc>
          <w:tcPr>
            <w:tcW w:w="2552" w:type="dxa"/>
            <w:tcBorders>
              <w:top w:val="single" w:sz="4" w:space="0" w:color="13133D"/>
              <w:bottom w:val="single" w:sz="4" w:space="0" w:color="13133D"/>
            </w:tcBorders>
            <w:vAlign w:val="center"/>
          </w:tcPr>
          <w:p w14:paraId="22601C37" w14:textId="15FF7274" w:rsidR="00934FD6" w:rsidRPr="00C952C2" w:rsidRDefault="00FE29E1" w:rsidP="00934FD6">
            <w:pPr>
              <w:rPr>
                <w:sz w:val="20"/>
                <w:szCs w:val="20"/>
              </w:rPr>
            </w:pPr>
            <w:r>
              <w:rPr>
                <w:b/>
                <w:sz w:val="20"/>
                <w:szCs w:val="20"/>
              </w:rPr>
              <w:t>4</w:t>
            </w:r>
            <w:r w:rsidR="00934FD6" w:rsidRPr="00C952C2">
              <w:rPr>
                <w:b/>
                <w:sz w:val="20"/>
                <w:szCs w:val="20"/>
              </w:rPr>
              <w:t>.</w:t>
            </w:r>
            <w:r w:rsidR="00934FD6" w:rsidRPr="00C952C2">
              <w:rPr>
                <w:sz w:val="20"/>
                <w:szCs w:val="20"/>
              </w:rPr>
              <w:t xml:space="preserve"> Терміни (строки) виставлення рахунків за електричну енергію та терміни (строки)</w:t>
            </w:r>
            <w:r w:rsidR="00991122" w:rsidRPr="00C952C2">
              <w:rPr>
                <w:sz w:val="20"/>
                <w:szCs w:val="20"/>
              </w:rPr>
              <w:t>, порядок</w:t>
            </w:r>
            <w:r w:rsidR="00383AF8" w:rsidRPr="00C952C2">
              <w:rPr>
                <w:sz w:val="20"/>
                <w:szCs w:val="20"/>
              </w:rPr>
              <w:t xml:space="preserve"> </w:t>
            </w:r>
            <w:r w:rsidR="00934FD6" w:rsidRPr="00C952C2">
              <w:rPr>
                <w:sz w:val="20"/>
                <w:szCs w:val="20"/>
              </w:rPr>
              <w:t>оплати</w:t>
            </w:r>
          </w:p>
        </w:tc>
        <w:tc>
          <w:tcPr>
            <w:tcW w:w="7087" w:type="dxa"/>
            <w:tcBorders>
              <w:top w:val="single" w:sz="4" w:space="0" w:color="13133D"/>
              <w:bottom w:val="single" w:sz="4" w:space="0" w:color="13133D"/>
            </w:tcBorders>
          </w:tcPr>
          <w:p w14:paraId="373E6BD1" w14:textId="77777777" w:rsidR="00FE29E1" w:rsidRDefault="00FE29E1" w:rsidP="00FB291C">
            <w:pPr>
              <w:pStyle w:val="ad"/>
              <w:numPr>
                <w:ilvl w:val="0"/>
                <w:numId w:val="2"/>
              </w:numPr>
              <w:tabs>
                <w:tab w:val="left" w:pos="265"/>
              </w:tabs>
              <w:ind w:left="0" w:firstLine="0"/>
              <w:jc w:val="both"/>
              <w:rPr>
                <w:sz w:val="20"/>
                <w:szCs w:val="20"/>
              </w:rPr>
            </w:pPr>
            <w:r w:rsidRPr="00FE29E1">
              <w:rPr>
                <w:sz w:val="20"/>
                <w:szCs w:val="20"/>
              </w:rPr>
              <w:t xml:space="preserve">Планові рахунки на оплату за електричну енергію надаються споживачу до початку розрахункового періоду. Терміни (строки) оплати: - до 25 числа місяця, що передує розрахунковому – 25% від прогнозної вартості заявленого обсягу споживання електричної енергії у розрахунковому періоді (далі - прогнозна вартість); - першого банківського дня розрахункового періоду – 25% прогнозної вартості; - до 10 числа розрахункового періоду – 25% прогнозної вартості; - до 15 числа розрахункового періоду – 25% прогнозної вартості; - протягом 5 (п’яти) банківських днів з дати надання рахунку – остаточний розрахунок по факту споживання у розрахунковому періоді. </w:t>
            </w:r>
          </w:p>
          <w:p w14:paraId="52A1727C" w14:textId="779E5C43" w:rsidR="00FE29E1" w:rsidRDefault="00FE29E1" w:rsidP="00FB291C">
            <w:pPr>
              <w:pStyle w:val="ad"/>
              <w:numPr>
                <w:ilvl w:val="0"/>
                <w:numId w:val="2"/>
              </w:numPr>
              <w:tabs>
                <w:tab w:val="left" w:pos="265"/>
              </w:tabs>
              <w:ind w:left="0" w:firstLine="0"/>
              <w:jc w:val="both"/>
              <w:rPr>
                <w:sz w:val="20"/>
                <w:szCs w:val="20"/>
              </w:rPr>
            </w:pPr>
            <w:r w:rsidRPr="00FE29E1">
              <w:rPr>
                <w:sz w:val="20"/>
                <w:szCs w:val="20"/>
              </w:rPr>
              <w:t xml:space="preserve">Прогнозна вартість розраховується за наступною формулою: </w:t>
            </w:r>
            <w:proofErr w:type="spellStart"/>
            <w:r w:rsidRPr="00FE29E1">
              <w:rPr>
                <w:sz w:val="20"/>
                <w:szCs w:val="20"/>
              </w:rPr>
              <w:t>Впр</w:t>
            </w:r>
            <w:proofErr w:type="spellEnd"/>
            <w:r w:rsidRPr="00FE29E1">
              <w:rPr>
                <w:sz w:val="20"/>
                <w:szCs w:val="20"/>
              </w:rPr>
              <w:t xml:space="preserve"> П = </w:t>
            </w:r>
            <w:r w:rsidRPr="00FE29E1">
              <w:rPr>
                <w:rFonts w:ascii="Cambria Math" w:hAnsi="Cambria Math" w:cs="Cambria Math"/>
                <w:sz w:val="20"/>
                <w:szCs w:val="20"/>
              </w:rPr>
              <w:t>𝑊</w:t>
            </w:r>
            <w:r w:rsidRPr="00FE29E1">
              <w:rPr>
                <w:sz w:val="20"/>
                <w:szCs w:val="20"/>
              </w:rPr>
              <w:t xml:space="preserve">з С </w:t>
            </w:r>
            <w:r w:rsidRPr="00FE29E1">
              <w:rPr>
                <w:rFonts w:ascii="Cambria Math" w:hAnsi="Cambria Math" w:cs="Cambria Math"/>
                <w:sz w:val="20"/>
                <w:szCs w:val="20"/>
              </w:rPr>
              <w:t>∗</w:t>
            </w:r>
            <w:r w:rsidRPr="00FE29E1">
              <w:rPr>
                <w:sz w:val="20"/>
                <w:szCs w:val="20"/>
              </w:rPr>
              <w:t xml:space="preserve"> </w:t>
            </w:r>
            <w:proofErr w:type="spellStart"/>
            <w:r w:rsidRPr="00FE29E1">
              <w:rPr>
                <w:sz w:val="20"/>
                <w:szCs w:val="20"/>
              </w:rPr>
              <w:t>Цр</w:t>
            </w:r>
            <w:proofErr w:type="spellEnd"/>
            <w:r w:rsidRPr="00FE29E1">
              <w:rPr>
                <w:sz w:val="20"/>
                <w:szCs w:val="20"/>
              </w:rPr>
              <w:t xml:space="preserve"> ОР, [грн/</w:t>
            </w:r>
            <w:proofErr w:type="spellStart"/>
            <w:r w:rsidRPr="00FE29E1">
              <w:rPr>
                <w:sz w:val="20"/>
                <w:szCs w:val="20"/>
              </w:rPr>
              <w:t>МВт∙год</w:t>
            </w:r>
            <w:proofErr w:type="spellEnd"/>
            <w:r w:rsidRPr="00FE29E1">
              <w:rPr>
                <w:sz w:val="20"/>
                <w:szCs w:val="20"/>
              </w:rPr>
              <w:t>.], де:</w:t>
            </w:r>
            <w:r w:rsidRPr="00FE29E1">
              <w:rPr>
                <w:rFonts w:ascii="Cambria Math" w:hAnsi="Cambria Math" w:cs="Cambria Math"/>
                <w:sz w:val="20"/>
                <w:szCs w:val="20"/>
              </w:rPr>
              <w:t>𝑊</w:t>
            </w:r>
            <w:r w:rsidRPr="00FE29E1">
              <w:rPr>
                <w:sz w:val="20"/>
                <w:szCs w:val="20"/>
              </w:rPr>
              <w:t xml:space="preserve">з С - заявлений обсяг споживання електричної енергії у відповідному розрахунковому періоді, що наведений у п. 13 цієї Комерційної пропозиції, </w:t>
            </w:r>
            <w:proofErr w:type="spellStart"/>
            <w:r w:rsidRPr="00FE29E1">
              <w:rPr>
                <w:sz w:val="20"/>
                <w:szCs w:val="20"/>
              </w:rPr>
              <w:t>МВт∙год</w:t>
            </w:r>
            <w:proofErr w:type="spellEnd"/>
            <w:r w:rsidRPr="00FE29E1">
              <w:rPr>
                <w:sz w:val="20"/>
                <w:szCs w:val="20"/>
              </w:rPr>
              <w:t xml:space="preserve">.; </w:t>
            </w:r>
            <w:proofErr w:type="spellStart"/>
            <w:r w:rsidRPr="00FE29E1">
              <w:rPr>
                <w:sz w:val="20"/>
                <w:szCs w:val="20"/>
              </w:rPr>
              <w:t>Цр</w:t>
            </w:r>
            <w:proofErr w:type="spellEnd"/>
            <w:r w:rsidRPr="00FE29E1">
              <w:rPr>
                <w:sz w:val="20"/>
                <w:szCs w:val="20"/>
              </w:rPr>
              <w:t xml:space="preserve"> ОР - прогнозована ринкова ціна на електричну енергію на розрахунковий період. </w:t>
            </w:r>
            <w:proofErr w:type="spellStart"/>
            <w:r w:rsidRPr="00FE29E1">
              <w:rPr>
                <w:sz w:val="20"/>
                <w:szCs w:val="20"/>
              </w:rPr>
              <w:t>Цр</w:t>
            </w:r>
            <w:proofErr w:type="spellEnd"/>
            <w:r w:rsidRPr="00FE29E1">
              <w:rPr>
                <w:sz w:val="20"/>
                <w:szCs w:val="20"/>
              </w:rPr>
              <w:t xml:space="preserve"> ОР для перших двох місяців постачання електричної енергії за цим Договором, визначатиметься, як середня ціна на Ринку «на добу наперед», що склалася у місяці, який був за два місяці перед розрахунковим, з урахуванням Т Пер, а для наступних розрахункових періодів – фактична ціна реалізації електричної енергії у місяці, що був за два місяці перед розрахунковим, грн/</w:t>
            </w:r>
            <w:proofErr w:type="spellStart"/>
            <w:r w:rsidRPr="00FE29E1">
              <w:rPr>
                <w:sz w:val="20"/>
                <w:szCs w:val="20"/>
              </w:rPr>
              <w:t>МВт∙год</w:t>
            </w:r>
            <w:proofErr w:type="spellEnd"/>
            <w:r w:rsidRPr="00FE29E1">
              <w:rPr>
                <w:sz w:val="20"/>
                <w:szCs w:val="20"/>
              </w:rPr>
              <w:t xml:space="preserve"> ▪ </w:t>
            </w:r>
          </w:p>
          <w:p w14:paraId="74876169" w14:textId="70BB0AFD" w:rsidR="00934FD6" w:rsidRPr="00C952C2" w:rsidRDefault="00FE29E1" w:rsidP="00FB291C">
            <w:pPr>
              <w:pStyle w:val="ad"/>
              <w:numPr>
                <w:ilvl w:val="0"/>
                <w:numId w:val="2"/>
              </w:numPr>
              <w:tabs>
                <w:tab w:val="left" w:pos="265"/>
              </w:tabs>
              <w:ind w:left="0" w:firstLine="0"/>
              <w:jc w:val="both"/>
              <w:rPr>
                <w:sz w:val="20"/>
                <w:szCs w:val="20"/>
              </w:rPr>
            </w:pPr>
            <w:r w:rsidRPr="00FE29E1">
              <w:rPr>
                <w:sz w:val="20"/>
                <w:szCs w:val="20"/>
              </w:rPr>
              <w:t>У разі якщо день проведення платежу припадає на вихідній, святковий або останній банківський день місяця, днем для здійснення платежу вважається день, що передує вихідному, святковому та останньому банківському дню місяця.</w:t>
            </w:r>
          </w:p>
        </w:tc>
      </w:tr>
      <w:tr w:rsidR="007C620A" w:rsidRPr="00C952C2" w14:paraId="3749BB51" w14:textId="77777777" w:rsidTr="0032385E">
        <w:trPr>
          <w:trHeight w:val="433"/>
        </w:trPr>
        <w:tc>
          <w:tcPr>
            <w:tcW w:w="2552" w:type="dxa"/>
            <w:tcBorders>
              <w:top w:val="single" w:sz="4" w:space="0" w:color="13133D"/>
            </w:tcBorders>
            <w:vAlign w:val="center"/>
          </w:tcPr>
          <w:p w14:paraId="05A8BC1F" w14:textId="5A88386D" w:rsidR="00934FD6" w:rsidRPr="00C952C2" w:rsidRDefault="00FE29E1" w:rsidP="00934FD6">
            <w:pPr>
              <w:rPr>
                <w:sz w:val="20"/>
                <w:szCs w:val="20"/>
              </w:rPr>
            </w:pPr>
            <w:r>
              <w:rPr>
                <w:b/>
                <w:sz w:val="20"/>
                <w:szCs w:val="20"/>
              </w:rPr>
              <w:t>5</w:t>
            </w:r>
            <w:r w:rsidR="00934FD6" w:rsidRPr="00C952C2">
              <w:rPr>
                <w:b/>
                <w:sz w:val="20"/>
                <w:szCs w:val="20"/>
              </w:rPr>
              <w:t>.</w:t>
            </w:r>
            <w:r w:rsidR="00934FD6" w:rsidRPr="00C952C2">
              <w:rPr>
                <w:sz w:val="20"/>
                <w:szCs w:val="20"/>
              </w:rPr>
              <w:t xml:space="preserve"> Визначення варіант</w:t>
            </w:r>
            <w:r w:rsidR="00FC2E08" w:rsidRPr="00C952C2">
              <w:rPr>
                <w:sz w:val="20"/>
                <w:szCs w:val="20"/>
                <w:lang w:val="ru-RU"/>
              </w:rPr>
              <w:t>а</w:t>
            </w:r>
            <w:r w:rsidR="00934FD6" w:rsidRPr="00C952C2">
              <w:rPr>
                <w:sz w:val="20"/>
                <w:szCs w:val="20"/>
              </w:rPr>
              <w:t xml:space="preserve"> оплати послуг з розподілу</w:t>
            </w:r>
          </w:p>
          <w:p w14:paraId="3545A2DD" w14:textId="77777777" w:rsidR="00934FD6" w:rsidRPr="00C952C2" w:rsidRDefault="00934FD6" w:rsidP="00934FD6">
            <w:pPr>
              <w:rPr>
                <w:sz w:val="20"/>
                <w:szCs w:val="20"/>
              </w:rPr>
            </w:pPr>
            <w:r w:rsidRPr="00C952C2">
              <w:rPr>
                <w:sz w:val="20"/>
                <w:szCs w:val="20"/>
              </w:rPr>
              <w:t>(необхідно обрати лише один з варіантів)</w:t>
            </w:r>
          </w:p>
        </w:tc>
        <w:bookmarkStart w:id="2" w:name="_Hlk50368043"/>
        <w:tc>
          <w:tcPr>
            <w:tcW w:w="7087" w:type="dxa"/>
            <w:tcBorders>
              <w:top w:val="single" w:sz="4" w:space="0" w:color="13133D"/>
            </w:tcBorders>
          </w:tcPr>
          <w:p w14:paraId="4B85DB91" w14:textId="77777777" w:rsidR="00934FD6" w:rsidRPr="00C952C2" w:rsidRDefault="00000000" w:rsidP="00934FD6">
            <w:pPr>
              <w:pStyle w:val="ad"/>
              <w:tabs>
                <w:tab w:val="left" w:pos="264"/>
              </w:tabs>
              <w:ind w:left="0"/>
              <w:jc w:val="both"/>
              <w:rPr>
                <w:b/>
                <w:sz w:val="20"/>
                <w:szCs w:val="20"/>
              </w:rPr>
            </w:pPr>
            <w:sdt>
              <w:sdtPr>
                <w:rPr>
                  <w:sz w:val="20"/>
                  <w:szCs w:val="20"/>
                </w:rPr>
                <w:id w:val="-1081516629"/>
                <w14:checkbox>
                  <w14:checked w14:val="0"/>
                  <w14:checkedState w14:val="00FE" w14:font="Wingdings"/>
                  <w14:uncheckedState w14:val="00A8" w14:font="Wingdings"/>
                </w14:checkbox>
              </w:sdtPr>
              <w:sdtContent>
                <w:r w:rsidR="00C952C2" w:rsidRPr="00C952C2">
                  <w:rPr>
                    <w:sz w:val="20"/>
                    <w:szCs w:val="20"/>
                  </w:rPr>
                  <w:sym w:font="Wingdings" w:char="F0A8"/>
                </w:r>
              </w:sdtContent>
            </w:sdt>
            <w:r w:rsidR="00934FD6" w:rsidRPr="00C952C2">
              <w:rPr>
                <w:sz w:val="20"/>
                <w:szCs w:val="20"/>
              </w:rPr>
              <w:t xml:space="preserve">  </w:t>
            </w:r>
            <w:r w:rsidR="00934FD6" w:rsidRPr="00C952C2">
              <w:rPr>
                <w:b/>
                <w:sz w:val="20"/>
                <w:szCs w:val="20"/>
              </w:rPr>
              <w:t xml:space="preserve">Варіант 1. </w:t>
            </w:r>
            <w:r w:rsidR="00934FD6" w:rsidRPr="00C952C2">
              <w:rPr>
                <w:sz w:val="20"/>
                <w:szCs w:val="20"/>
              </w:rPr>
              <w:t>Через Постачальника з наступним переведенням цієї оплати Постачальником оператору системи.</w:t>
            </w:r>
          </w:p>
          <w:p w14:paraId="69451700" w14:textId="77777777" w:rsidR="00934FD6" w:rsidRPr="00C952C2" w:rsidRDefault="00934FD6" w:rsidP="00934FD6">
            <w:pPr>
              <w:jc w:val="both"/>
              <w:rPr>
                <w:sz w:val="20"/>
                <w:szCs w:val="20"/>
              </w:rPr>
            </w:pPr>
            <w:r w:rsidRPr="00C952C2">
              <w:rPr>
                <w:sz w:val="20"/>
                <w:szCs w:val="20"/>
              </w:rPr>
              <w:t>Оплата послуг з розподілу здійснюється Споживачем на підставі окремого рахунку</w:t>
            </w:r>
            <w:r w:rsidR="00FC2E08" w:rsidRPr="00C952C2">
              <w:rPr>
                <w:sz w:val="20"/>
                <w:szCs w:val="20"/>
                <w:lang w:val="ru-RU"/>
              </w:rPr>
              <w:t>,</w:t>
            </w:r>
            <w:r w:rsidRPr="00C952C2">
              <w:rPr>
                <w:sz w:val="20"/>
                <w:szCs w:val="20"/>
              </w:rPr>
              <w:t xml:space="preserve"> що виставляється Постачальником та проводиться у строки</w:t>
            </w:r>
            <w:r w:rsidR="00FC2E08" w:rsidRPr="00C952C2">
              <w:rPr>
                <w:sz w:val="20"/>
                <w:szCs w:val="20"/>
                <w:lang w:val="ru-RU"/>
              </w:rPr>
              <w:t>,</w:t>
            </w:r>
            <w:r w:rsidRPr="00C952C2">
              <w:rPr>
                <w:sz w:val="20"/>
                <w:szCs w:val="20"/>
              </w:rPr>
              <w:t xml:space="preserve"> визначені Договором постачальника про надання послуг з розподілу (передачі) електричної енергії.</w:t>
            </w:r>
          </w:p>
          <w:p w14:paraId="1A90463A" w14:textId="70F9F534" w:rsidR="00934FD6" w:rsidRPr="00C952C2" w:rsidRDefault="00000000" w:rsidP="00934FD6">
            <w:pPr>
              <w:pStyle w:val="ad"/>
              <w:tabs>
                <w:tab w:val="left" w:pos="265"/>
              </w:tabs>
              <w:ind w:left="0"/>
              <w:jc w:val="both"/>
              <w:rPr>
                <w:b/>
                <w:sz w:val="20"/>
                <w:szCs w:val="20"/>
              </w:rPr>
            </w:pPr>
            <w:sdt>
              <w:sdtPr>
                <w:rPr>
                  <w:sz w:val="20"/>
                  <w:szCs w:val="20"/>
                </w:rPr>
                <w:id w:val="-1814784144"/>
                <w14:checkbox>
                  <w14:checked w14:val="0"/>
                  <w14:checkedState w14:val="00FE" w14:font="Wingdings"/>
                  <w14:uncheckedState w14:val="00A8" w14:font="Wingdings"/>
                </w14:checkbox>
              </w:sdtPr>
              <w:sdtContent>
                <w:r w:rsidR="007E7898">
                  <w:rPr>
                    <w:sz w:val="20"/>
                    <w:szCs w:val="20"/>
                  </w:rPr>
                  <w:sym w:font="Wingdings" w:char="F0A8"/>
                </w:r>
              </w:sdtContent>
            </w:sdt>
            <w:r w:rsidR="00934FD6" w:rsidRPr="00C952C2">
              <w:rPr>
                <w:sz w:val="20"/>
                <w:szCs w:val="20"/>
              </w:rPr>
              <w:t xml:space="preserve">  </w:t>
            </w:r>
            <w:r w:rsidR="00934FD6" w:rsidRPr="00C952C2">
              <w:rPr>
                <w:b/>
                <w:sz w:val="20"/>
                <w:szCs w:val="20"/>
              </w:rPr>
              <w:t xml:space="preserve">Варіант 2. </w:t>
            </w:r>
            <w:r w:rsidR="00934FD6" w:rsidRPr="00C952C2">
              <w:rPr>
                <w:sz w:val="20"/>
                <w:szCs w:val="20"/>
              </w:rPr>
              <w:t>Напряму Оператору системи розподілу.</w:t>
            </w:r>
          </w:p>
          <w:p w14:paraId="2BE2CFC6" w14:textId="77777777" w:rsidR="00934FD6" w:rsidRPr="00C952C2" w:rsidRDefault="00934FD6" w:rsidP="00934FD6">
            <w:pPr>
              <w:jc w:val="both"/>
              <w:rPr>
                <w:sz w:val="20"/>
                <w:szCs w:val="20"/>
              </w:rPr>
            </w:pPr>
            <w:r w:rsidRPr="00C952C2">
              <w:rPr>
                <w:sz w:val="20"/>
                <w:szCs w:val="20"/>
              </w:rPr>
              <w:lastRenderedPageBreak/>
              <w:t>Оплата послуг з розподілу здійснюється Споживачем самостійно на підставі рахунку</w:t>
            </w:r>
            <w:r w:rsidR="00FC2E08" w:rsidRPr="00C952C2">
              <w:rPr>
                <w:sz w:val="20"/>
                <w:szCs w:val="20"/>
              </w:rPr>
              <w:t>,</w:t>
            </w:r>
            <w:r w:rsidRPr="00C952C2">
              <w:rPr>
                <w:sz w:val="20"/>
                <w:szCs w:val="20"/>
              </w:rPr>
              <w:t xml:space="preserve"> що виставляється Оператором системи розподілу, згідно Договору споживача про надання послуг з розподілу (передачі) електричної енергії</w:t>
            </w:r>
            <w:bookmarkEnd w:id="2"/>
            <w:r w:rsidRPr="00C952C2">
              <w:rPr>
                <w:sz w:val="20"/>
                <w:szCs w:val="20"/>
              </w:rPr>
              <w:t>.</w:t>
            </w:r>
          </w:p>
        </w:tc>
      </w:tr>
      <w:tr w:rsidR="007C620A" w:rsidRPr="00C952C2" w14:paraId="41580513" w14:textId="77777777" w:rsidTr="0032385E">
        <w:trPr>
          <w:trHeight w:val="245"/>
        </w:trPr>
        <w:tc>
          <w:tcPr>
            <w:tcW w:w="2552" w:type="dxa"/>
            <w:vAlign w:val="center"/>
          </w:tcPr>
          <w:p w14:paraId="22A3EAD8" w14:textId="3A480AFA" w:rsidR="00934FD6" w:rsidRPr="00C952C2" w:rsidRDefault="00FE29E1" w:rsidP="00934FD6">
            <w:pPr>
              <w:rPr>
                <w:sz w:val="20"/>
                <w:szCs w:val="20"/>
              </w:rPr>
            </w:pPr>
            <w:r>
              <w:rPr>
                <w:b/>
                <w:sz w:val="20"/>
                <w:szCs w:val="20"/>
              </w:rPr>
              <w:lastRenderedPageBreak/>
              <w:t>6</w:t>
            </w:r>
            <w:r w:rsidR="00934FD6" w:rsidRPr="00C952C2">
              <w:rPr>
                <w:b/>
                <w:sz w:val="20"/>
                <w:szCs w:val="20"/>
              </w:rPr>
              <w:t>.</w:t>
            </w:r>
            <w:r w:rsidR="00934FD6" w:rsidRPr="00C952C2">
              <w:rPr>
                <w:sz w:val="20"/>
                <w:szCs w:val="20"/>
              </w:rPr>
              <w:t xml:space="preserve"> Розмір пені за порушення строку оплати або штраф</w:t>
            </w:r>
          </w:p>
        </w:tc>
        <w:tc>
          <w:tcPr>
            <w:tcW w:w="7087" w:type="dxa"/>
          </w:tcPr>
          <w:p w14:paraId="057520D6" w14:textId="77777777" w:rsidR="00EB66A3" w:rsidRPr="00C952C2" w:rsidRDefault="00383AF8" w:rsidP="00EB66A3">
            <w:pPr>
              <w:pStyle w:val="ad"/>
              <w:numPr>
                <w:ilvl w:val="0"/>
                <w:numId w:val="2"/>
              </w:numPr>
              <w:tabs>
                <w:tab w:val="left" w:pos="265"/>
              </w:tabs>
              <w:ind w:left="0" w:firstLine="0"/>
              <w:jc w:val="both"/>
              <w:rPr>
                <w:sz w:val="20"/>
                <w:szCs w:val="20"/>
              </w:rPr>
            </w:pPr>
            <w:r w:rsidRPr="00C952C2">
              <w:rPr>
                <w:sz w:val="20"/>
                <w:szCs w:val="20"/>
              </w:rPr>
              <w:t>У</w:t>
            </w:r>
            <w:r w:rsidR="00EB66A3" w:rsidRPr="00C952C2">
              <w:rPr>
                <w:sz w:val="20"/>
                <w:szCs w:val="20"/>
              </w:rPr>
              <w:t xml:space="preserve"> разі несвоєчасних розрахунків за отриману електричну енергію, Споживач зобов'язаний сплатити пеню </w:t>
            </w:r>
            <w:r w:rsidR="00B467DF" w:rsidRPr="00C952C2">
              <w:rPr>
                <w:sz w:val="20"/>
                <w:szCs w:val="20"/>
              </w:rPr>
              <w:t>у</w:t>
            </w:r>
            <w:r w:rsidR="00EB66A3" w:rsidRPr="00C952C2">
              <w:rPr>
                <w:sz w:val="20"/>
                <w:szCs w:val="20"/>
              </w:rPr>
              <w:t xml:space="preserve"> розмірі 0,1% від суми простроченого платежу, але не більше подвійної облікової ставки НБУ, яка діє на день прострочення, за кожен день прострочення такого платежу</w:t>
            </w:r>
            <w:r w:rsidR="0045363A" w:rsidRPr="00C952C2">
              <w:rPr>
                <w:sz w:val="20"/>
                <w:szCs w:val="20"/>
              </w:rPr>
              <w:t>, без обмеження періоду її нарахування, до дати повної оплати.</w:t>
            </w:r>
          </w:p>
          <w:p w14:paraId="79796657" w14:textId="77777777" w:rsidR="00934FD6" w:rsidRPr="00C952C2" w:rsidRDefault="00383AF8" w:rsidP="00EB66A3">
            <w:pPr>
              <w:pStyle w:val="ad"/>
              <w:numPr>
                <w:ilvl w:val="0"/>
                <w:numId w:val="2"/>
              </w:numPr>
              <w:tabs>
                <w:tab w:val="left" w:pos="265"/>
              </w:tabs>
              <w:ind w:left="0" w:firstLine="0"/>
              <w:jc w:val="both"/>
              <w:rPr>
                <w:sz w:val="20"/>
                <w:szCs w:val="20"/>
              </w:rPr>
            </w:pPr>
            <w:r w:rsidRPr="00C952C2">
              <w:rPr>
                <w:sz w:val="20"/>
                <w:szCs w:val="20"/>
              </w:rPr>
              <w:t>У</w:t>
            </w:r>
            <w:r w:rsidR="00EB66A3" w:rsidRPr="00C952C2">
              <w:rPr>
                <w:sz w:val="20"/>
                <w:szCs w:val="20"/>
              </w:rPr>
              <w:t xml:space="preserve"> разі несвоєчасної оплати Споживачем послуг з розподілу електричної енергії, на підставі виставленого Постачальником окремого рахунку, Споживач сплачує Постачальнику пеню </w:t>
            </w:r>
            <w:r w:rsidR="00B467DF" w:rsidRPr="00C952C2">
              <w:rPr>
                <w:sz w:val="20"/>
                <w:szCs w:val="20"/>
              </w:rPr>
              <w:t>у</w:t>
            </w:r>
            <w:r w:rsidR="00EB66A3" w:rsidRPr="00C952C2">
              <w:rPr>
                <w:sz w:val="20"/>
                <w:szCs w:val="20"/>
              </w:rPr>
              <w:t xml:space="preserve"> розмірі 0,1% від суми простроченого платежу, але не більше подвійної облікової ставки НБУ, яка діє на день прострочення, за кожен день прострочення такого платежу</w:t>
            </w:r>
            <w:r w:rsidR="0045363A" w:rsidRPr="00C952C2">
              <w:rPr>
                <w:sz w:val="20"/>
                <w:szCs w:val="20"/>
              </w:rPr>
              <w:t>, без обмеження періоду її нарахування, до дати повної оплати.</w:t>
            </w:r>
          </w:p>
        </w:tc>
      </w:tr>
      <w:tr w:rsidR="007C620A" w:rsidRPr="00C952C2" w14:paraId="78DC81D7" w14:textId="77777777" w:rsidTr="0032385E">
        <w:trPr>
          <w:trHeight w:val="700"/>
        </w:trPr>
        <w:tc>
          <w:tcPr>
            <w:tcW w:w="2552" w:type="dxa"/>
            <w:vAlign w:val="center"/>
          </w:tcPr>
          <w:p w14:paraId="68C79246" w14:textId="5CAC4A27" w:rsidR="00934FD6" w:rsidRPr="00C952C2" w:rsidRDefault="00FE29E1" w:rsidP="00934FD6">
            <w:pPr>
              <w:rPr>
                <w:sz w:val="20"/>
                <w:szCs w:val="20"/>
              </w:rPr>
            </w:pPr>
            <w:r>
              <w:rPr>
                <w:b/>
                <w:sz w:val="20"/>
                <w:szCs w:val="20"/>
              </w:rPr>
              <w:t>7</w:t>
            </w:r>
            <w:r w:rsidR="00934FD6" w:rsidRPr="00C952C2">
              <w:rPr>
                <w:b/>
                <w:sz w:val="20"/>
                <w:szCs w:val="20"/>
              </w:rPr>
              <w:t>.</w:t>
            </w:r>
            <w:r w:rsidR="00934FD6" w:rsidRPr="00C952C2">
              <w:rPr>
                <w:sz w:val="20"/>
                <w:szCs w:val="20"/>
              </w:rPr>
              <w:t xml:space="preserve"> Компенсація Споживачу за недотримання Постачальником комерційної якості надання послуг</w:t>
            </w:r>
          </w:p>
        </w:tc>
        <w:tc>
          <w:tcPr>
            <w:tcW w:w="7087" w:type="dxa"/>
            <w:vAlign w:val="center"/>
          </w:tcPr>
          <w:p w14:paraId="4B43889B" w14:textId="77777777" w:rsidR="00934FD6" w:rsidRPr="00C952C2" w:rsidRDefault="00934FD6" w:rsidP="00155754">
            <w:pPr>
              <w:pStyle w:val="DOC"/>
              <w:spacing w:after="0"/>
              <w:ind w:firstLine="0"/>
              <w:rPr>
                <w:color w:val="auto"/>
                <w:sz w:val="20"/>
                <w:szCs w:val="20"/>
              </w:rPr>
            </w:pPr>
            <w:r w:rsidRPr="00C952C2">
              <w:rPr>
                <w:color w:val="auto"/>
                <w:sz w:val="20"/>
                <w:szCs w:val="20"/>
              </w:rPr>
              <w:t>Компенсація здійснюється відповідно до Порядку забезпечення стандартів якості електропостачання та надання компенсацій споживачам за їх недотримання, що затверджений Постановою НКРЕКП від 12.06.2018</w:t>
            </w:r>
            <w:r w:rsidR="00383AF8" w:rsidRPr="00C952C2">
              <w:rPr>
                <w:color w:val="auto"/>
                <w:sz w:val="20"/>
                <w:szCs w:val="20"/>
              </w:rPr>
              <w:t xml:space="preserve"> р.</w:t>
            </w:r>
            <w:r w:rsidRPr="00C952C2">
              <w:rPr>
                <w:color w:val="auto"/>
                <w:sz w:val="20"/>
                <w:szCs w:val="20"/>
              </w:rPr>
              <w:t xml:space="preserve"> № 375.</w:t>
            </w:r>
          </w:p>
        </w:tc>
      </w:tr>
      <w:tr w:rsidR="007C620A" w:rsidRPr="00C952C2" w14:paraId="0978E77F" w14:textId="77777777" w:rsidTr="00FB2D47">
        <w:trPr>
          <w:trHeight w:val="1396"/>
        </w:trPr>
        <w:tc>
          <w:tcPr>
            <w:tcW w:w="2552" w:type="dxa"/>
            <w:vAlign w:val="center"/>
          </w:tcPr>
          <w:p w14:paraId="3E6E05A6" w14:textId="62A1E89B" w:rsidR="00934FD6" w:rsidRPr="00C952C2" w:rsidRDefault="00FE29E1" w:rsidP="00934FD6">
            <w:pPr>
              <w:rPr>
                <w:sz w:val="20"/>
                <w:szCs w:val="20"/>
              </w:rPr>
            </w:pPr>
            <w:r>
              <w:rPr>
                <w:b/>
                <w:sz w:val="20"/>
                <w:szCs w:val="20"/>
              </w:rPr>
              <w:t>8</w:t>
            </w:r>
            <w:r w:rsidR="00934FD6" w:rsidRPr="00C952C2">
              <w:rPr>
                <w:b/>
                <w:sz w:val="20"/>
                <w:szCs w:val="20"/>
              </w:rPr>
              <w:t>.</w:t>
            </w:r>
            <w:r w:rsidR="00934FD6" w:rsidRPr="00C952C2">
              <w:rPr>
                <w:sz w:val="20"/>
                <w:szCs w:val="20"/>
              </w:rPr>
              <w:t xml:space="preserve"> </w:t>
            </w:r>
            <w:r w:rsidR="0045363A" w:rsidRPr="00C952C2">
              <w:rPr>
                <w:sz w:val="20"/>
                <w:szCs w:val="20"/>
              </w:rPr>
              <w:t>Штраф за дострокове розірвання (припинення) дії Договору</w:t>
            </w:r>
          </w:p>
        </w:tc>
        <w:tc>
          <w:tcPr>
            <w:tcW w:w="7087" w:type="dxa"/>
            <w:vAlign w:val="center"/>
          </w:tcPr>
          <w:p w14:paraId="1DDB848D" w14:textId="77777777" w:rsidR="00934FD6" w:rsidRPr="00C952C2" w:rsidRDefault="0045363A" w:rsidP="00934FD6">
            <w:pPr>
              <w:rPr>
                <w:sz w:val="20"/>
                <w:szCs w:val="20"/>
              </w:rPr>
            </w:pPr>
            <w:r w:rsidRPr="00C952C2">
              <w:rPr>
                <w:sz w:val="20"/>
                <w:szCs w:val="20"/>
              </w:rPr>
              <w:t>Санкції за дострокове припинення договору не нараховуються (відсутні).</w:t>
            </w:r>
          </w:p>
        </w:tc>
      </w:tr>
      <w:tr w:rsidR="007C620A" w:rsidRPr="00C952C2" w14:paraId="7D62C26E" w14:textId="77777777" w:rsidTr="0032385E">
        <w:tc>
          <w:tcPr>
            <w:tcW w:w="2552" w:type="dxa"/>
            <w:tcBorders>
              <w:bottom w:val="single" w:sz="4" w:space="0" w:color="13133D"/>
            </w:tcBorders>
            <w:vAlign w:val="center"/>
          </w:tcPr>
          <w:p w14:paraId="7E55B78B" w14:textId="1126909F" w:rsidR="00934FD6" w:rsidRPr="00C952C2" w:rsidRDefault="00FE29E1" w:rsidP="00934FD6">
            <w:pPr>
              <w:rPr>
                <w:sz w:val="20"/>
                <w:szCs w:val="20"/>
              </w:rPr>
            </w:pPr>
            <w:r>
              <w:rPr>
                <w:b/>
                <w:sz w:val="20"/>
                <w:szCs w:val="20"/>
              </w:rPr>
              <w:t>9</w:t>
            </w:r>
            <w:r w:rsidR="00934FD6" w:rsidRPr="00C952C2">
              <w:rPr>
                <w:b/>
                <w:sz w:val="20"/>
                <w:szCs w:val="20"/>
              </w:rPr>
              <w:t>.</w:t>
            </w:r>
            <w:r w:rsidR="00934FD6" w:rsidRPr="00C952C2">
              <w:rPr>
                <w:sz w:val="20"/>
                <w:szCs w:val="20"/>
              </w:rPr>
              <w:t xml:space="preserve"> </w:t>
            </w:r>
            <w:r w:rsidR="0045363A" w:rsidRPr="00C952C2">
              <w:rPr>
                <w:sz w:val="20"/>
                <w:szCs w:val="20"/>
              </w:rPr>
              <w:t xml:space="preserve">Строк дії Договору </w:t>
            </w:r>
          </w:p>
        </w:tc>
        <w:tc>
          <w:tcPr>
            <w:tcW w:w="7087" w:type="dxa"/>
            <w:tcBorders>
              <w:bottom w:val="single" w:sz="4" w:space="0" w:color="13133D"/>
            </w:tcBorders>
            <w:vAlign w:val="center"/>
          </w:tcPr>
          <w:p w14:paraId="6D20B12C" w14:textId="4D23DBE4" w:rsidR="00FB2D47" w:rsidRPr="00FB2D47" w:rsidRDefault="00FB2D47" w:rsidP="00FB2D47">
            <w:pPr>
              <w:jc w:val="both"/>
              <w:rPr>
                <w:sz w:val="20"/>
                <w:szCs w:val="20"/>
              </w:rPr>
            </w:pPr>
            <w:r w:rsidRPr="00FB2D47">
              <w:rPr>
                <w:sz w:val="20"/>
                <w:szCs w:val="20"/>
              </w:rPr>
              <w:t>Договір набуває чинності з дня наступного за днем отримання ТОВ «</w:t>
            </w:r>
            <w:r w:rsidR="001F5E26">
              <w:rPr>
                <w:sz w:val="20"/>
                <w:szCs w:val="20"/>
              </w:rPr>
              <w:t>КомТрейд Енерджи</w:t>
            </w:r>
            <w:r w:rsidRPr="00FB2D47">
              <w:rPr>
                <w:sz w:val="20"/>
                <w:szCs w:val="20"/>
              </w:rPr>
              <w:t>» заяви</w:t>
            </w:r>
            <w:r>
              <w:rPr>
                <w:sz w:val="20"/>
                <w:szCs w:val="20"/>
              </w:rPr>
              <w:t xml:space="preserve"> </w:t>
            </w:r>
            <w:r w:rsidRPr="00FB2D47">
              <w:rPr>
                <w:sz w:val="20"/>
                <w:szCs w:val="20"/>
              </w:rPr>
              <w:t>приєднання Споживача до умов публічного Договору про постачання</w:t>
            </w:r>
            <w:r>
              <w:rPr>
                <w:sz w:val="20"/>
                <w:szCs w:val="20"/>
              </w:rPr>
              <w:t xml:space="preserve"> </w:t>
            </w:r>
            <w:r w:rsidRPr="00FB2D47">
              <w:rPr>
                <w:sz w:val="20"/>
                <w:szCs w:val="20"/>
              </w:rPr>
              <w:t>електричної енергії споживачу, в якій вказано про обрання цієї Комерційної</w:t>
            </w:r>
            <w:r>
              <w:rPr>
                <w:sz w:val="20"/>
                <w:szCs w:val="20"/>
              </w:rPr>
              <w:t xml:space="preserve"> </w:t>
            </w:r>
            <w:r w:rsidRPr="00FB2D47">
              <w:rPr>
                <w:sz w:val="20"/>
                <w:szCs w:val="20"/>
              </w:rPr>
              <w:t>пропозиції, якщо протягом трьох робочих днів Споживачу не буде повідомлено</w:t>
            </w:r>
            <w:r>
              <w:rPr>
                <w:sz w:val="20"/>
                <w:szCs w:val="20"/>
              </w:rPr>
              <w:t xml:space="preserve"> </w:t>
            </w:r>
            <w:r w:rsidRPr="00FB2D47">
              <w:rPr>
                <w:sz w:val="20"/>
                <w:szCs w:val="20"/>
              </w:rPr>
              <w:t>про невідповідність критеріям обраної комерційної пропозиції та діє до 31</w:t>
            </w:r>
            <w:r>
              <w:rPr>
                <w:sz w:val="20"/>
                <w:szCs w:val="20"/>
              </w:rPr>
              <w:t xml:space="preserve"> </w:t>
            </w:r>
            <w:r w:rsidRPr="00FB2D47">
              <w:rPr>
                <w:sz w:val="20"/>
                <w:szCs w:val="20"/>
              </w:rPr>
              <w:t>грудня поточного року. У заяві-приєднання до публічного Договору про</w:t>
            </w:r>
            <w:r>
              <w:rPr>
                <w:sz w:val="20"/>
                <w:szCs w:val="20"/>
              </w:rPr>
              <w:t xml:space="preserve"> </w:t>
            </w:r>
            <w:r w:rsidRPr="00FB2D47">
              <w:rPr>
                <w:sz w:val="20"/>
                <w:szCs w:val="20"/>
              </w:rPr>
              <w:t>постачання електричної енергії споживачу зазначається старт (початок)</w:t>
            </w:r>
          </w:p>
          <w:p w14:paraId="396F497B" w14:textId="0F96D3FE" w:rsidR="00934FD6" w:rsidRPr="00C952C2" w:rsidRDefault="00FB2D47" w:rsidP="00FB2D47">
            <w:pPr>
              <w:jc w:val="both"/>
              <w:rPr>
                <w:sz w:val="20"/>
                <w:szCs w:val="20"/>
              </w:rPr>
            </w:pPr>
            <w:r w:rsidRPr="00FB2D47">
              <w:rPr>
                <w:sz w:val="20"/>
                <w:szCs w:val="20"/>
              </w:rPr>
              <w:t>постачання електричної енергії споживачу. Договір вважається щорічно</w:t>
            </w:r>
            <w:r>
              <w:rPr>
                <w:sz w:val="20"/>
                <w:szCs w:val="20"/>
              </w:rPr>
              <w:t xml:space="preserve"> </w:t>
            </w:r>
            <w:r w:rsidRPr="00FB2D47">
              <w:rPr>
                <w:sz w:val="20"/>
                <w:szCs w:val="20"/>
              </w:rPr>
              <w:t>продовженим на наступний календарний рік, якщо за 21 календарний день до</w:t>
            </w:r>
            <w:r>
              <w:rPr>
                <w:sz w:val="20"/>
                <w:szCs w:val="20"/>
              </w:rPr>
              <w:t xml:space="preserve"> </w:t>
            </w:r>
            <w:r w:rsidRPr="00FB2D47">
              <w:rPr>
                <w:sz w:val="20"/>
                <w:szCs w:val="20"/>
              </w:rPr>
              <w:t>закінчення терміну дії Договору жодна зі Сторін не заявить про припинення його</w:t>
            </w:r>
            <w:r>
              <w:rPr>
                <w:sz w:val="20"/>
                <w:szCs w:val="20"/>
              </w:rPr>
              <w:t xml:space="preserve"> </w:t>
            </w:r>
            <w:r w:rsidRPr="00FB2D47">
              <w:rPr>
                <w:sz w:val="20"/>
                <w:szCs w:val="20"/>
              </w:rPr>
              <w:t>дії або перегляд його умов</w:t>
            </w:r>
          </w:p>
        </w:tc>
      </w:tr>
      <w:tr w:rsidR="007C620A" w:rsidRPr="00C952C2" w14:paraId="3F0550F3" w14:textId="77777777" w:rsidTr="0032385E">
        <w:tc>
          <w:tcPr>
            <w:tcW w:w="2552" w:type="dxa"/>
            <w:tcBorders>
              <w:top w:val="single" w:sz="4" w:space="0" w:color="13133D"/>
              <w:bottom w:val="single" w:sz="4" w:space="0" w:color="13133D"/>
            </w:tcBorders>
            <w:vAlign w:val="center"/>
          </w:tcPr>
          <w:p w14:paraId="50C9F27E" w14:textId="45661507" w:rsidR="00934FD6" w:rsidRPr="00C952C2" w:rsidRDefault="00934FD6" w:rsidP="00934FD6">
            <w:pPr>
              <w:rPr>
                <w:sz w:val="20"/>
                <w:szCs w:val="20"/>
              </w:rPr>
            </w:pPr>
            <w:r w:rsidRPr="00C952C2">
              <w:rPr>
                <w:b/>
                <w:sz w:val="20"/>
                <w:szCs w:val="20"/>
                <w:bdr w:val="none" w:sz="0" w:space="0" w:color="auto" w:frame="1"/>
              </w:rPr>
              <w:t>1</w:t>
            </w:r>
            <w:r w:rsidR="00FE29E1">
              <w:rPr>
                <w:b/>
                <w:sz w:val="20"/>
                <w:szCs w:val="20"/>
                <w:bdr w:val="none" w:sz="0" w:space="0" w:color="auto" w:frame="1"/>
              </w:rPr>
              <w:t>0</w:t>
            </w:r>
            <w:r w:rsidRPr="00C952C2">
              <w:rPr>
                <w:b/>
                <w:sz w:val="20"/>
                <w:szCs w:val="20"/>
                <w:bdr w:val="none" w:sz="0" w:space="0" w:color="auto" w:frame="1"/>
              </w:rPr>
              <w:t>.</w:t>
            </w:r>
            <w:r w:rsidRPr="00C952C2">
              <w:rPr>
                <w:sz w:val="20"/>
                <w:szCs w:val="20"/>
                <w:bdr w:val="none" w:sz="0" w:space="0" w:color="auto" w:frame="1"/>
              </w:rPr>
              <w:t xml:space="preserve"> Урахування пільг, субсидій</w:t>
            </w:r>
          </w:p>
        </w:tc>
        <w:tc>
          <w:tcPr>
            <w:tcW w:w="7087" w:type="dxa"/>
            <w:tcBorders>
              <w:top w:val="single" w:sz="4" w:space="0" w:color="13133D"/>
              <w:bottom w:val="single" w:sz="4" w:space="0" w:color="13133D"/>
            </w:tcBorders>
            <w:vAlign w:val="center"/>
          </w:tcPr>
          <w:p w14:paraId="6E68A16A" w14:textId="77777777" w:rsidR="00934FD6" w:rsidRPr="00C952C2" w:rsidRDefault="00934FD6" w:rsidP="00934FD6">
            <w:pPr>
              <w:rPr>
                <w:sz w:val="20"/>
                <w:szCs w:val="20"/>
              </w:rPr>
            </w:pPr>
            <w:r w:rsidRPr="00C952C2">
              <w:rPr>
                <w:sz w:val="20"/>
                <w:szCs w:val="20"/>
              </w:rPr>
              <w:t>Відсутнє.</w:t>
            </w:r>
          </w:p>
        </w:tc>
      </w:tr>
      <w:tr w:rsidR="007C620A" w:rsidRPr="00C952C2" w14:paraId="01E365FF" w14:textId="77777777" w:rsidTr="0032385E">
        <w:tc>
          <w:tcPr>
            <w:tcW w:w="2552" w:type="dxa"/>
            <w:tcBorders>
              <w:top w:val="single" w:sz="4" w:space="0" w:color="13133D"/>
              <w:bottom w:val="single" w:sz="4" w:space="0" w:color="13133D"/>
            </w:tcBorders>
            <w:vAlign w:val="center"/>
          </w:tcPr>
          <w:p w14:paraId="49FF546A" w14:textId="04557364" w:rsidR="00934FD6" w:rsidRPr="00C952C2" w:rsidRDefault="00934FD6" w:rsidP="00934FD6">
            <w:pPr>
              <w:rPr>
                <w:sz w:val="20"/>
                <w:szCs w:val="20"/>
                <w:bdr w:val="none" w:sz="0" w:space="0" w:color="auto" w:frame="1"/>
              </w:rPr>
            </w:pPr>
            <w:r w:rsidRPr="00C952C2">
              <w:rPr>
                <w:b/>
                <w:sz w:val="20"/>
                <w:szCs w:val="20"/>
                <w:bdr w:val="none" w:sz="0" w:space="0" w:color="auto" w:frame="1"/>
              </w:rPr>
              <w:t>1</w:t>
            </w:r>
            <w:r w:rsidR="00FE29E1">
              <w:rPr>
                <w:b/>
                <w:sz w:val="20"/>
                <w:szCs w:val="20"/>
                <w:bdr w:val="none" w:sz="0" w:space="0" w:color="auto" w:frame="1"/>
              </w:rPr>
              <w:t>1</w:t>
            </w:r>
            <w:r w:rsidRPr="00C952C2">
              <w:rPr>
                <w:b/>
                <w:sz w:val="20"/>
                <w:szCs w:val="20"/>
                <w:bdr w:val="none" w:sz="0" w:space="0" w:color="auto" w:frame="1"/>
              </w:rPr>
              <w:t>.</w:t>
            </w:r>
            <w:r w:rsidRPr="00C952C2">
              <w:rPr>
                <w:sz w:val="20"/>
                <w:szCs w:val="20"/>
                <w:bdr w:val="none" w:sz="0" w:space="0" w:color="auto" w:frame="1"/>
              </w:rPr>
              <w:t xml:space="preserve"> Можливість постачання захищеним споживачам</w:t>
            </w:r>
          </w:p>
        </w:tc>
        <w:tc>
          <w:tcPr>
            <w:tcW w:w="7087" w:type="dxa"/>
            <w:tcBorders>
              <w:top w:val="single" w:sz="4" w:space="0" w:color="13133D"/>
              <w:bottom w:val="single" w:sz="4" w:space="0" w:color="13133D"/>
            </w:tcBorders>
            <w:vAlign w:val="center"/>
          </w:tcPr>
          <w:p w14:paraId="6356540D" w14:textId="77777777" w:rsidR="00934FD6" w:rsidRPr="00C952C2" w:rsidRDefault="00934FD6" w:rsidP="00934FD6">
            <w:pPr>
              <w:rPr>
                <w:sz w:val="20"/>
                <w:szCs w:val="20"/>
              </w:rPr>
            </w:pPr>
            <w:r w:rsidRPr="00C952C2">
              <w:rPr>
                <w:sz w:val="20"/>
                <w:szCs w:val="20"/>
              </w:rPr>
              <w:t>Так.</w:t>
            </w:r>
          </w:p>
        </w:tc>
      </w:tr>
      <w:tr w:rsidR="007C620A" w:rsidRPr="00C952C2" w14:paraId="4F4A19F8" w14:textId="77777777" w:rsidTr="006124F2">
        <w:tc>
          <w:tcPr>
            <w:tcW w:w="2552" w:type="dxa"/>
            <w:tcBorders>
              <w:top w:val="single" w:sz="4" w:space="0" w:color="13133D"/>
              <w:bottom w:val="single" w:sz="4" w:space="0" w:color="auto"/>
            </w:tcBorders>
            <w:vAlign w:val="center"/>
          </w:tcPr>
          <w:p w14:paraId="7B45D567" w14:textId="77777777" w:rsidR="00E45811" w:rsidRPr="00C952C2" w:rsidRDefault="00E45811" w:rsidP="00E45811">
            <w:pPr>
              <w:rPr>
                <w:b/>
                <w:sz w:val="20"/>
                <w:szCs w:val="20"/>
              </w:rPr>
            </w:pPr>
          </w:p>
          <w:p w14:paraId="4118CDD9" w14:textId="7235886E" w:rsidR="00E45811" w:rsidRPr="00C952C2" w:rsidRDefault="00E45811" w:rsidP="00E45811">
            <w:pPr>
              <w:rPr>
                <w:sz w:val="20"/>
                <w:szCs w:val="20"/>
              </w:rPr>
            </w:pPr>
            <w:r w:rsidRPr="00C952C2">
              <w:rPr>
                <w:b/>
                <w:sz w:val="20"/>
                <w:szCs w:val="20"/>
              </w:rPr>
              <w:t>1</w:t>
            </w:r>
            <w:r w:rsidR="00FE29E1">
              <w:rPr>
                <w:b/>
                <w:sz w:val="20"/>
                <w:szCs w:val="20"/>
              </w:rPr>
              <w:t>2</w:t>
            </w:r>
            <w:r w:rsidRPr="00C952C2">
              <w:rPr>
                <w:b/>
                <w:sz w:val="20"/>
                <w:szCs w:val="20"/>
              </w:rPr>
              <w:t>.</w:t>
            </w:r>
            <w:r w:rsidRPr="00C952C2">
              <w:rPr>
                <w:sz w:val="20"/>
                <w:szCs w:val="20"/>
              </w:rPr>
              <w:t xml:space="preserve"> Погодження та уточнення</w:t>
            </w:r>
          </w:p>
          <w:p w14:paraId="6F9DDA5E" w14:textId="77777777" w:rsidR="00E45811" w:rsidRPr="00C952C2" w:rsidRDefault="00E45811" w:rsidP="00E45811">
            <w:pPr>
              <w:rPr>
                <w:sz w:val="20"/>
                <w:szCs w:val="20"/>
              </w:rPr>
            </w:pPr>
            <w:r w:rsidRPr="00C952C2">
              <w:rPr>
                <w:sz w:val="20"/>
                <w:szCs w:val="20"/>
              </w:rPr>
              <w:t>заявлених/прогнозних обсягів споживання електричної енергії</w:t>
            </w:r>
          </w:p>
        </w:tc>
        <w:tc>
          <w:tcPr>
            <w:tcW w:w="7087" w:type="dxa"/>
          </w:tcPr>
          <w:p w14:paraId="15CF2E81" w14:textId="77777777"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 xml:space="preserve">До 15 (п’ятнадцятого) числа місяця, що передує розрахунковому періоду, Споживач має право уточнювати Заявлений обсяг споживання електричної енергії </w:t>
            </w:r>
            <w:r w:rsidR="00FC2E08" w:rsidRPr="00C952C2">
              <w:rPr>
                <w:sz w:val="20"/>
                <w:szCs w:val="20"/>
              </w:rPr>
              <w:t>у</w:t>
            </w:r>
            <w:r w:rsidRPr="00C952C2">
              <w:rPr>
                <w:sz w:val="20"/>
                <w:szCs w:val="20"/>
              </w:rPr>
              <w:t xml:space="preserve"> розрахунковому періоді зазначений </w:t>
            </w:r>
            <w:r w:rsidR="006124F2" w:rsidRPr="00C952C2">
              <w:rPr>
                <w:sz w:val="20"/>
                <w:szCs w:val="20"/>
              </w:rPr>
              <w:t>у</w:t>
            </w:r>
            <w:r w:rsidRPr="00C952C2">
              <w:rPr>
                <w:sz w:val="20"/>
                <w:szCs w:val="20"/>
              </w:rPr>
              <w:t xml:space="preserve"> п.1</w:t>
            </w:r>
            <w:r w:rsidR="00857E5D" w:rsidRPr="00C952C2">
              <w:rPr>
                <w:sz w:val="20"/>
                <w:szCs w:val="20"/>
              </w:rPr>
              <w:t>3</w:t>
            </w:r>
            <w:r w:rsidRPr="00C952C2">
              <w:rPr>
                <w:sz w:val="20"/>
                <w:szCs w:val="20"/>
              </w:rPr>
              <w:t xml:space="preserve"> цієї Комерційної пропозиції.</w:t>
            </w:r>
          </w:p>
          <w:p w14:paraId="4837C322" w14:textId="10C53C81"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Один раз, до 14 (чотирнадцятого) числа розрахункового періоду, Споживач має можливість змінити Заявлений обсяг споживання електричної енергії на розрахунковий період, за умови відсутності простроченої заборгованості за цим Договором станом на час надходження повідомлення про коригування Заявленого обсягу споживання електричної енергії.</w:t>
            </w:r>
          </w:p>
          <w:p w14:paraId="1E45D901" w14:textId="4BB25540"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 xml:space="preserve">Уточнення та коригування Заявленого обсягу споживання електричної енергії здійснюються </w:t>
            </w:r>
            <w:r w:rsidR="007E7898">
              <w:rPr>
                <w:sz w:val="20"/>
                <w:szCs w:val="20"/>
              </w:rPr>
              <w:t>шляхом направлення електронного повідомлення на електронну пошту Постачальника</w:t>
            </w:r>
            <w:r w:rsidRPr="00C952C2">
              <w:rPr>
                <w:sz w:val="20"/>
                <w:szCs w:val="20"/>
              </w:rPr>
              <w:t>.</w:t>
            </w:r>
          </w:p>
          <w:p w14:paraId="78A2B32F" w14:textId="77777777"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У випадку зміни Заявленого обсягу споживання у бік збільшення, Споживач, на підставі рахунку Постачальника, до 14 (чотирнадцятого) числа розрахункового періоду, здійснює оплату у розмірі 100% (ста) додаткового обсягу електричної енергії.</w:t>
            </w:r>
          </w:p>
          <w:p w14:paraId="14C0F848" w14:textId="77777777"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 xml:space="preserve">У випадку зміни Заявленого обсягу споживання у бік зменшення, Постачальник, для збереження балансу </w:t>
            </w:r>
            <w:proofErr w:type="spellStart"/>
            <w:r w:rsidRPr="00C952C2">
              <w:rPr>
                <w:sz w:val="20"/>
                <w:szCs w:val="20"/>
              </w:rPr>
              <w:t>оплат</w:t>
            </w:r>
            <w:proofErr w:type="spellEnd"/>
            <w:r w:rsidRPr="00C952C2">
              <w:rPr>
                <w:sz w:val="20"/>
                <w:szCs w:val="20"/>
              </w:rPr>
              <w:t xml:space="preserve"> згідно з умовами Договору, </w:t>
            </w:r>
            <w:proofErr w:type="spellStart"/>
            <w:r w:rsidRPr="00C952C2">
              <w:rPr>
                <w:sz w:val="20"/>
                <w:szCs w:val="20"/>
              </w:rPr>
              <w:t>перевиставляє</w:t>
            </w:r>
            <w:proofErr w:type="spellEnd"/>
            <w:r w:rsidRPr="00C952C2">
              <w:rPr>
                <w:sz w:val="20"/>
                <w:szCs w:val="20"/>
              </w:rPr>
              <w:t xml:space="preserve"> Споживачу наступні неоплачені планові рахунки. </w:t>
            </w:r>
          </w:p>
          <w:p w14:paraId="2E2B5434" w14:textId="2BE608BB" w:rsidR="00E45811" w:rsidRPr="00FE29E1" w:rsidRDefault="00E45811" w:rsidP="00FE29E1">
            <w:pPr>
              <w:pStyle w:val="ad"/>
              <w:numPr>
                <w:ilvl w:val="0"/>
                <w:numId w:val="2"/>
              </w:numPr>
              <w:tabs>
                <w:tab w:val="left" w:pos="265"/>
              </w:tabs>
              <w:ind w:left="0" w:firstLine="0"/>
              <w:jc w:val="both"/>
              <w:rPr>
                <w:sz w:val="20"/>
                <w:szCs w:val="20"/>
              </w:rPr>
            </w:pPr>
            <w:r w:rsidRPr="00C952C2">
              <w:rPr>
                <w:sz w:val="20"/>
                <w:szCs w:val="20"/>
              </w:rPr>
              <w:t>Якщо сума оплачених коштів на дату коригування перевищує вартість скоригованого обсягу</w:t>
            </w:r>
            <w:r w:rsidR="00653DD1" w:rsidRPr="00C952C2">
              <w:rPr>
                <w:sz w:val="20"/>
                <w:szCs w:val="20"/>
              </w:rPr>
              <w:t>,</w:t>
            </w:r>
            <w:r w:rsidRPr="00C952C2">
              <w:rPr>
                <w:sz w:val="20"/>
                <w:szCs w:val="20"/>
              </w:rPr>
              <w:t xml:space="preserve"> переплата</w:t>
            </w:r>
            <w:r w:rsidR="00653DD1" w:rsidRPr="00C952C2">
              <w:rPr>
                <w:sz w:val="20"/>
                <w:szCs w:val="20"/>
              </w:rPr>
              <w:t>,</w:t>
            </w:r>
            <w:r w:rsidRPr="00C952C2">
              <w:rPr>
                <w:sz w:val="20"/>
                <w:szCs w:val="20"/>
              </w:rPr>
              <w:t xml:space="preserve"> що виникла, зараховується як авансовий платіж на наступний розрахунковий період.</w:t>
            </w:r>
          </w:p>
        </w:tc>
      </w:tr>
      <w:tr w:rsidR="007C620A" w:rsidRPr="00C952C2" w14:paraId="1ED9674F" w14:textId="77777777" w:rsidTr="0032385E">
        <w:tc>
          <w:tcPr>
            <w:tcW w:w="2552" w:type="dxa"/>
            <w:tcBorders>
              <w:top w:val="single" w:sz="4" w:space="0" w:color="auto"/>
              <w:bottom w:val="single" w:sz="4" w:space="0" w:color="13133D"/>
            </w:tcBorders>
            <w:vAlign w:val="center"/>
          </w:tcPr>
          <w:p w14:paraId="68D31915" w14:textId="7AE69BF0" w:rsidR="00934FD6" w:rsidRPr="00C952C2" w:rsidRDefault="00934FD6" w:rsidP="00934FD6">
            <w:pPr>
              <w:rPr>
                <w:sz w:val="20"/>
                <w:szCs w:val="20"/>
              </w:rPr>
            </w:pPr>
            <w:r w:rsidRPr="00C952C2">
              <w:rPr>
                <w:b/>
                <w:sz w:val="20"/>
                <w:szCs w:val="20"/>
              </w:rPr>
              <w:lastRenderedPageBreak/>
              <w:t>1</w:t>
            </w:r>
            <w:r w:rsidR="00FE29E1">
              <w:rPr>
                <w:b/>
                <w:sz w:val="20"/>
                <w:szCs w:val="20"/>
              </w:rPr>
              <w:t>3</w:t>
            </w:r>
            <w:r w:rsidRPr="00C952C2">
              <w:rPr>
                <w:b/>
                <w:sz w:val="20"/>
                <w:szCs w:val="20"/>
              </w:rPr>
              <w:t>.</w:t>
            </w:r>
            <w:r w:rsidRPr="00C952C2">
              <w:rPr>
                <w:sz w:val="20"/>
                <w:szCs w:val="20"/>
              </w:rPr>
              <w:t xml:space="preserve"> Орієнтовна вартість Договору</w:t>
            </w:r>
          </w:p>
        </w:tc>
        <w:tc>
          <w:tcPr>
            <w:tcW w:w="7087" w:type="dxa"/>
            <w:tcBorders>
              <w:top w:val="single" w:sz="4" w:space="0" w:color="auto"/>
              <w:bottom w:val="single" w:sz="4" w:space="0" w:color="13133D"/>
            </w:tcBorders>
            <w:vAlign w:val="center"/>
          </w:tcPr>
          <w:p w14:paraId="05761A3E" w14:textId="77777777" w:rsidR="00934FD6" w:rsidRPr="00C952C2" w:rsidRDefault="00E45811" w:rsidP="00F02988">
            <w:pPr>
              <w:pStyle w:val="DOC"/>
              <w:spacing w:after="0"/>
              <w:ind w:firstLine="0"/>
              <w:rPr>
                <w:color w:val="auto"/>
                <w:sz w:val="20"/>
                <w:szCs w:val="20"/>
              </w:rPr>
            </w:pPr>
            <w:r w:rsidRPr="00C952C2">
              <w:rPr>
                <w:color w:val="auto"/>
                <w:sz w:val="20"/>
                <w:szCs w:val="20"/>
              </w:rPr>
              <w:t>Орієнтовна загальна вартість цього Договору складається із сум визначених в актах купівлі-продажу електричної енергії  за розрахунковий  період</w:t>
            </w:r>
            <w:r w:rsidR="00653DD1" w:rsidRPr="00C952C2">
              <w:rPr>
                <w:color w:val="auto"/>
                <w:sz w:val="20"/>
                <w:szCs w:val="20"/>
              </w:rPr>
              <w:t xml:space="preserve"> </w:t>
            </w:r>
            <w:r w:rsidR="00653DD1" w:rsidRPr="00C952C2">
              <w:rPr>
                <w:sz w:val="20"/>
                <w:szCs w:val="20"/>
              </w:rPr>
              <w:t>за весь період часу дії Договор</w:t>
            </w:r>
            <w:r w:rsidR="00FC2E08" w:rsidRPr="00C952C2">
              <w:rPr>
                <w:sz w:val="20"/>
                <w:szCs w:val="20"/>
              </w:rPr>
              <w:t>у</w:t>
            </w:r>
            <w:r w:rsidRPr="00C952C2">
              <w:rPr>
                <w:color w:val="auto"/>
                <w:sz w:val="20"/>
                <w:szCs w:val="20"/>
              </w:rPr>
              <w:t>.</w:t>
            </w:r>
          </w:p>
        </w:tc>
      </w:tr>
      <w:tr w:rsidR="007C620A" w:rsidRPr="00C952C2" w14:paraId="21581415" w14:textId="77777777" w:rsidTr="0032385E">
        <w:trPr>
          <w:trHeight w:val="70"/>
        </w:trPr>
        <w:tc>
          <w:tcPr>
            <w:tcW w:w="2552" w:type="dxa"/>
            <w:tcBorders>
              <w:top w:val="single" w:sz="4" w:space="0" w:color="13133D"/>
              <w:bottom w:val="single" w:sz="4" w:space="0" w:color="13133D"/>
            </w:tcBorders>
            <w:vAlign w:val="center"/>
          </w:tcPr>
          <w:p w14:paraId="155D10AD" w14:textId="2419E725" w:rsidR="00934FD6" w:rsidRPr="00C952C2" w:rsidRDefault="00934FD6" w:rsidP="00934FD6">
            <w:pPr>
              <w:rPr>
                <w:sz w:val="20"/>
                <w:szCs w:val="20"/>
              </w:rPr>
            </w:pPr>
            <w:r w:rsidRPr="00C952C2">
              <w:rPr>
                <w:b/>
                <w:sz w:val="20"/>
                <w:szCs w:val="20"/>
              </w:rPr>
              <w:t>1</w:t>
            </w:r>
            <w:r w:rsidR="00FE29E1">
              <w:rPr>
                <w:b/>
                <w:sz w:val="20"/>
                <w:szCs w:val="20"/>
              </w:rPr>
              <w:t>4</w:t>
            </w:r>
            <w:r w:rsidRPr="00C952C2">
              <w:rPr>
                <w:b/>
                <w:sz w:val="20"/>
                <w:szCs w:val="20"/>
              </w:rPr>
              <w:t>.</w:t>
            </w:r>
            <w:r w:rsidRPr="00C952C2">
              <w:rPr>
                <w:sz w:val="20"/>
                <w:szCs w:val="20"/>
              </w:rPr>
              <w:t xml:space="preserve"> Порядок звіряння фактичного обсягу спожитої електричної енергії </w:t>
            </w:r>
          </w:p>
        </w:tc>
        <w:tc>
          <w:tcPr>
            <w:tcW w:w="7087" w:type="dxa"/>
            <w:tcBorders>
              <w:top w:val="single" w:sz="4" w:space="0" w:color="13133D"/>
              <w:bottom w:val="single" w:sz="4" w:space="0" w:color="13133D"/>
            </w:tcBorders>
          </w:tcPr>
          <w:p w14:paraId="2E55818F" w14:textId="77777777" w:rsidR="00934FD6" w:rsidRPr="00C952C2" w:rsidRDefault="00934FD6" w:rsidP="00934FD6">
            <w:pPr>
              <w:jc w:val="both"/>
              <w:rPr>
                <w:sz w:val="20"/>
                <w:szCs w:val="20"/>
              </w:rPr>
            </w:pPr>
            <w:r w:rsidRPr="00C952C2">
              <w:rPr>
                <w:sz w:val="20"/>
                <w:szCs w:val="20"/>
              </w:rPr>
              <w:t xml:space="preserve">Звіряння фактичного обсягу спожитої електричної енергії проводиться шляхом повідомлення Споживачем Постачальнику фактичного обсягу спожитої електричної енергії </w:t>
            </w:r>
            <w:r w:rsidR="00F253C7" w:rsidRPr="00C952C2">
              <w:rPr>
                <w:sz w:val="20"/>
                <w:szCs w:val="20"/>
              </w:rPr>
              <w:t>у</w:t>
            </w:r>
            <w:r w:rsidRPr="00C952C2">
              <w:rPr>
                <w:sz w:val="20"/>
                <w:szCs w:val="20"/>
              </w:rPr>
              <w:t xml:space="preserve"> розрахунковому періоді до 5 (п’ятого) числа місяця</w:t>
            </w:r>
            <w:r w:rsidR="00E475A3" w:rsidRPr="00C952C2">
              <w:rPr>
                <w:sz w:val="20"/>
                <w:szCs w:val="20"/>
              </w:rPr>
              <w:t>,</w:t>
            </w:r>
            <w:r w:rsidRPr="00C952C2">
              <w:rPr>
                <w:sz w:val="20"/>
                <w:szCs w:val="20"/>
              </w:rPr>
              <w:t xml:space="preserve"> наступного за розрахунковим, </w:t>
            </w:r>
            <w:r w:rsidR="00E45811" w:rsidRPr="00C952C2">
              <w:rPr>
                <w:sz w:val="20"/>
                <w:szCs w:val="20"/>
              </w:rPr>
              <w:t>у</w:t>
            </w:r>
            <w:r w:rsidRPr="00C952C2">
              <w:rPr>
                <w:sz w:val="20"/>
                <w:szCs w:val="20"/>
              </w:rPr>
              <w:t xml:space="preserve"> довільній формі.</w:t>
            </w:r>
          </w:p>
        </w:tc>
      </w:tr>
    </w:tbl>
    <w:p w14:paraId="4B0727E5" w14:textId="77777777" w:rsidR="006A142B" w:rsidRPr="00C952C2" w:rsidRDefault="006A142B" w:rsidP="006A142B">
      <w:pPr>
        <w:tabs>
          <w:tab w:val="left" w:pos="265"/>
        </w:tabs>
        <w:jc w:val="both"/>
        <w:rPr>
          <w:sz w:val="20"/>
          <w:szCs w:val="20"/>
        </w:rPr>
      </w:pPr>
    </w:p>
    <w:tbl>
      <w:tblPr>
        <w:tblW w:w="0" w:type="auto"/>
        <w:tblLook w:val="04A0" w:firstRow="1" w:lastRow="0" w:firstColumn="1" w:lastColumn="0" w:noHBand="0" w:noVBand="1"/>
      </w:tblPr>
      <w:tblGrid>
        <w:gridCol w:w="4820"/>
        <w:gridCol w:w="4812"/>
      </w:tblGrid>
      <w:tr w:rsidR="009C3431" w:rsidRPr="008A1E03" w14:paraId="783C0266" w14:textId="77777777" w:rsidTr="009C3431">
        <w:tc>
          <w:tcPr>
            <w:tcW w:w="4820" w:type="dxa"/>
            <w:shd w:val="clear" w:color="auto" w:fill="auto"/>
          </w:tcPr>
          <w:p w14:paraId="6C9253DB" w14:textId="77777777" w:rsidR="009C3431" w:rsidRPr="008A1E03" w:rsidRDefault="009C3431" w:rsidP="009C3431">
            <w:pPr>
              <w:jc w:val="both"/>
              <w:rPr>
                <w:b/>
                <w:sz w:val="20"/>
                <w:szCs w:val="20"/>
              </w:rPr>
            </w:pPr>
            <w:r w:rsidRPr="008A1E03">
              <w:rPr>
                <w:b/>
                <w:sz w:val="20"/>
                <w:szCs w:val="20"/>
              </w:rPr>
              <w:t>Постачальник:</w:t>
            </w:r>
          </w:p>
        </w:tc>
        <w:tc>
          <w:tcPr>
            <w:tcW w:w="4812" w:type="dxa"/>
            <w:shd w:val="clear" w:color="auto" w:fill="auto"/>
          </w:tcPr>
          <w:p w14:paraId="44A7E654" w14:textId="77777777" w:rsidR="009C3431" w:rsidRPr="00480F7D" w:rsidRDefault="009C3431" w:rsidP="009C3431">
            <w:pPr>
              <w:jc w:val="both"/>
              <w:rPr>
                <w:b/>
                <w:sz w:val="20"/>
                <w:szCs w:val="20"/>
              </w:rPr>
            </w:pPr>
            <w:r w:rsidRPr="00480F7D">
              <w:rPr>
                <w:b/>
                <w:sz w:val="20"/>
                <w:szCs w:val="20"/>
              </w:rPr>
              <w:t>Споживач:</w:t>
            </w:r>
          </w:p>
        </w:tc>
      </w:tr>
      <w:tr w:rsidR="009C3431" w:rsidRPr="008A1E03" w14:paraId="292A3654" w14:textId="77777777" w:rsidTr="009C3431">
        <w:tc>
          <w:tcPr>
            <w:tcW w:w="4820" w:type="dxa"/>
            <w:shd w:val="clear" w:color="auto" w:fill="auto"/>
          </w:tcPr>
          <w:p w14:paraId="3134F3C0" w14:textId="461D0181" w:rsidR="009C3431" w:rsidRPr="008A1E03" w:rsidRDefault="009C3431" w:rsidP="009C3431">
            <w:pPr>
              <w:jc w:val="both"/>
              <w:rPr>
                <w:b/>
                <w:sz w:val="20"/>
                <w:szCs w:val="20"/>
              </w:rPr>
            </w:pPr>
            <w:r w:rsidRPr="008A1E03">
              <w:rPr>
                <w:b/>
                <w:sz w:val="20"/>
                <w:szCs w:val="20"/>
              </w:rPr>
              <w:t>ТОВ «</w:t>
            </w:r>
            <w:r w:rsidR="001F5E26">
              <w:rPr>
                <w:b/>
                <w:sz w:val="20"/>
                <w:szCs w:val="20"/>
              </w:rPr>
              <w:t>КомТрейд Енерджи</w:t>
            </w:r>
            <w:r w:rsidRPr="008A1E03">
              <w:rPr>
                <w:b/>
                <w:sz w:val="20"/>
                <w:szCs w:val="20"/>
              </w:rPr>
              <w:t>»</w:t>
            </w:r>
          </w:p>
        </w:tc>
        <w:tc>
          <w:tcPr>
            <w:tcW w:w="4812" w:type="dxa"/>
            <w:shd w:val="clear" w:color="auto" w:fill="auto"/>
          </w:tcPr>
          <w:p w14:paraId="5777C76B" w14:textId="52F73EA1" w:rsidR="009C3431" w:rsidRPr="007E7898" w:rsidRDefault="007E7898" w:rsidP="00480F7D">
            <w:pPr>
              <w:jc w:val="both"/>
              <w:rPr>
                <w:b/>
                <w:bCs/>
                <w:sz w:val="20"/>
                <w:szCs w:val="20"/>
              </w:rPr>
            </w:pPr>
            <w:r>
              <w:rPr>
                <w:b/>
                <w:bCs/>
                <w:sz w:val="20"/>
                <w:szCs w:val="20"/>
              </w:rPr>
              <w:t>__________________</w:t>
            </w:r>
          </w:p>
        </w:tc>
      </w:tr>
      <w:tr w:rsidR="009C3431" w:rsidRPr="008A1E03" w14:paraId="502899CB" w14:textId="77777777" w:rsidTr="001E25C8">
        <w:trPr>
          <w:trHeight w:val="494"/>
        </w:trPr>
        <w:tc>
          <w:tcPr>
            <w:tcW w:w="4820" w:type="dxa"/>
            <w:shd w:val="clear" w:color="auto" w:fill="auto"/>
          </w:tcPr>
          <w:p w14:paraId="537301EA" w14:textId="60D31839" w:rsidR="009C3431" w:rsidRPr="008A1E03" w:rsidRDefault="007E7898" w:rsidP="009C3431">
            <w:pPr>
              <w:jc w:val="both"/>
              <w:rPr>
                <w:sz w:val="20"/>
                <w:szCs w:val="20"/>
              </w:rPr>
            </w:pPr>
            <w:r>
              <w:rPr>
                <w:sz w:val="20"/>
                <w:szCs w:val="20"/>
              </w:rPr>
              <w:t>Д</w:t>
            </w:r>
            <w:r w:rsidR="00B542A2">
              <w:rPr>
                <w:sz w:val="20"/>
                <w:szCs w:val="20"/>
              </w:rPr>
              <w:t>иректор</w:t>
            </w:r>
          </w:p>
        </w:tc>
        <w:tc>
          <w:tcPr>
            <w:tcW w:w="4812" w:type="dxa"/>
            <w:shd w:val="clear" w:color="auto" w:fill="auto"/>
          </w:tcPr>
          <w:p w14:paraId="7E1D6032" w14:textId="1F546A20" w:rsidR="009C3431" w:rsidRPr="007E7898" w:rsidRDefault="007E7898" w:rsidP="009C3431">
            <w:pPr>
              <w:jc w:val="both"/>
              <w:rPr>
                <w:sz w:val="20"/>
                <w:szCs w:val="20"/>
                <w:lang w:val="ru-RU"/>
              </w:rPr>
            </w:pPr>
            <w:r>
              <w:rPr>
                <w:sz w:val="20"/>
                <w:szCs w:val="20"/>
              </w:rPr>
              <w:t>_</w:t>
            </w:r>
            <w:r>
              <w:rPr>
                <w:sz w:val="20"/>
                <w:szCs w:val="20"/>
                <w:lang w:val="ru-RU"/>
              </w:rPr>
              <w:t>________________</w:t>
            </w:r>
          </w:p>
          <w:p w14:paraId="48005779" w14:textId="77777777" w:rsidR="009C3431" w:rsidRPr="00480F7D" w:rsidRDefault="009C3431" w:rsidP="009C3431">
            <w:pPr>
              <w:jc w:val="both"/>
              <w:rPr>
                <w:sz w:val="20"/>
                <w:szCs w:val="20"/>
              </w:rPr>
            </w:pPr>
          </w:p>
        </w:tc>
      </w:tr>
      <w:tr w:rsidR="009C3431" w:rsidRPr="009C3431" w14:paraId="7C4FD431" w14:textId="77777777" w:rsidTr="009C3431">
        <w:tc>
          <w:tcPr>
            <w:tcW w:w="4820" w:type="dxa"/>
            <w:shd w:val="clear" w:color="auto" w:fill="auto"/>
          </w:tcPr>
          <w:p w14:paraId="40A0DC9C" w14:textId="5C9D0268" w:rsidR="009C3431" w:rsidRPr="008A1E03" w:rsidRDefault="009C3431" w:rsidP="009C3431">
            <w:pPr>
              <w:jc w:val="both"/>
              <w:rPr>
                <w:b/>
                <w:bCs/>
                <w:sz w:val="20"/>
                <w:szCs w:val="20"/>
              </w:rPr>
            </w:pPr>
            <w:r w:rsidRPr="008A1E03">
              <w:rPr>
                <w:sz w:val="20"/>
                <w:szCs w:val="20"/>
              </w:rPr>
              <w:t xml:space="preserve">__________________ </w:t>
            </w:r>
            <w:r w:rsidR="001F5E26">
              <w:rPr>
                <w:sz w:val="20"/>
                <w:szCs w:val="20"/>
              </w:rPr>
              <w:t>Катерина ПУСТОВА</w:t>
            </w:r>
          </w:p>
          <w:p w14:paraId="763C1AAB" w14:textId="67CA1AC9" w:rsidR="009C3431" w:rsidRPr="008A1E03" w:rsidRDefault="007E7898" w:rsidP="009C3431">
            <w:pPr>
              <w:jc w:val="both"/>
              <w:rPr>
                <w:sz w:val="20"/>
                <w:szCs w:val="20"/>
              </w:rPr>
            </w:pPr>
            <w:r>
              <w:rPr>
                <w:sz w:val="20"/>
                <w:szCs w:val="20"/>
              </w:rPr>
              <w:t>м</w:t>
            </w:r>
            <w:r w:rsidR="009C3431" w:rsidRPr="008A1E03">
              <w:rPr>
                <w:sz w:val="20"/>
                <w:szCs w:val="20"/>
              </w:rPr>
              <w:t>/п</w:t>
            </w:r>
          </w:p>
        </w:tc>
        <w:tc>
          <w:tcPr>
            <w:tcW w:w="4812" w:type="dxa"/>
            <w:shd w:val="clear" w:color="auto" w:fill="auto"/>
          </w:tcPr>
          <w:p w14:paraId="7AD815B1" w14:textId="144D19E6" w:rsidR="009C3431" w:rsidRPr="00480F7D" w:rsidRDefault="009C3431" w:rsidP="009C3431">
            <w:pPr>
              <w:jc w:val="both"/>
              <w:rPr>
                <w:sz w:val="20"/>
                <w:szCs w:val="20"/>
              </w:rPr>
            </w:pPr>
            <w:r w:rsidRPr="00480F7D">
              <w:rPr>
                <w:sz w:val="20"/>
                <w:szCs w:val="20"/>
              </w:rPr>
              <w:t xml:space="preserve">________________________ </w:t>
            </w:r>
            <w:r w:rsidR="007E7898">
              <w:rPr>
                <w:b/>
                <w:bCs/>
                <w:sz w:val="20"/>
                <w:szCs w:val="20"/>
              </w:rPr>
              <w:t>__________________</w:t>
            </w:r>
            <w:r w:rsidR="009643A5" w:rsidRPr="00480F7D">
              <w:rPr>
                <w:b/>
                <w:bCs/>
                <w:sz w:val="20"/>
                <w:szCs w:val="20"/>
              </w:rPr>
              <w:t xml:space="preserve"> </w:t>
            </w:r>
          </w:p>
          <w:p w14:paraId="4EC52601" w14:textId="77777777" w:rsidR="009C3431" w:rsidRPr="00480F7D" w:rsidRDefault="009C3431" w:rsidP="009C3431">
            <w:pPr>
              <w:jc w:val="both"/>
              <w:rPr>
                <w:sz w:val="20"/>
                <w:szCs w:val="20"/>
              </w:rPr>
            </w:pPr>
            <w:r w:rsidRPr="00480F7D">
              <w:rPr>
                <w:sz w:val="20"/>
                <w:szCs w:val="20"/>
              </w:rPr>
              <w:t>м/п</w:t>
            </w:r>
          </w:p>
        </w:tc>
      </w:tr>
    </w:tbl>
    <w:p w14:paraId="1D8C6838" w14:textId="77777777" w:rsidR="00B60DE6" w:rsidRPr="00F27EC8" w:rsidRDefault="00B60DE6" w:rsidP="00D271BA">
      <w:pPr>
        <w:jc w:val="both"/>
        <w:rPr>
          <w:sz w:val="20"/>
          <w:szCs w:val="20"/>
        </w:rPr>
      </w:pPr>
    </w:p>
    <w:sectPr w:rsidR="00B60DE6" w:rsidRPr="00F27EC8" w:rsidSect="00842A07">
      <w:footerReference w:type="even" r:id="rId7"/>
      <w:footerReference w:type="default" r:id="rId8"/>
      <w:pgSz w:w="11900" w:h="16840"/>
      <w:pgMar w:top="426" w:right="567" w:bottom="1418" w:left="1701" w:header="0" w:footer="454" w:gutter="0"/>
      <w:cols w:space="999"/>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39DAD" w14:textId="77777777" w:rsidR="009414E0" w:rsidRDefault="009414E0" w:rsidP="00D01026">
      <w:r>
        <w:separator/>
      </w:r>
    </w:p>
  </w:endnote>
  <w:endnote w:type="continuationSeparator" w:id="0">
    <w:p w14:paraId="34DF3C17" w14:textId="77777777" w:rsidR="009414E0" w:rsidRDefault="009414E0" w:rsidP="00D0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D975F" w14:textId="77777777" w:rsidR="00C87425" w:rsidRPr="00D01026" w:rsidRDefault="00C87425" w:rsidP="00D01026">
    <w:pPr>
      <w:pStyle w:val="aa"/>
      <w:jc w:val="center"/>
      <w:rPr>
        <w:sz w:val="20"/>
        <w:szCs w:val="20"/>
      </w:rPr>
    </w:pPr>
    <w:r w:rsidRPr="00D01026">
      <w:rPr>
        <w:sz w:val="20"/>
        <w:szCs w:val="20"/>
      </w:rPr>
      <w:t xml:space="preserve">Сторінка </w:t>
    </w:r>
    <w:r w:rsidRPr="00D01026">
      <w:rPr>
        <w:b/>
        <w:bCs/>
        <w:sz w:val="20"/>
        <w:szCs w:val="20"/>
      </w:rPr>
      <w:fldChar w:fldCharType="begin"/>
    </w:r>
    <w:r w:rsidRPr="00D01026">
      <w:rPr>
        <w:b/>
        <w:bCs/>
        <w:sz w:val="20"/>
        <w:szCs w:val="20"/>
      </w:rPr>
      <w:instrText>PAGE</w:instrText>
    </w:r>
    <w:r w:rsidRPr="00D01026">
      <w:rPr>
        <w:b/>
        <w:bCs/>
        <w:sz w:val="20"/>
        <w:szCs w:val="20"/>
      </w:rPr>
      <w:fldChar w:fldCharType="separate"/>
    </w:r>
    <w:r w:rsidR="00480F7D">
      <w:rPr>
        <w:b/>
        <w:bCs/>
        <w:noProof/>
        <w:sz w:val="20"/>
        <w:szCs w:val="20"/>
      </w:rPr>
      <w:t>2</w:t>
    </w:r>
    <w:r w:rsidRPr="00D01026">
      <w:rPr>
        <w:b/>
        <w:bCs/>
        <w:sz w:val="20"/>
        <w:szCs w:val="20"/>
      </w:rPr>
      <w:fldChar w:fldCharType="end"/>
    </w:r>
    <w:r w:rsidRPr="00D01026">
      <w:rPr>
        <w:sz w:val="20"/>
        <w:szCs w:val="20"/>
      </w:rPr>
      <w:t xml:space="preserve"> з </w:t>
    </w:r>
    <w:r w:rsidRPr="00D01026">
      <w:rPr>
        <w:b/>
        <w:bCs/>
        <w:sz w:val="20"/>
        <w:szCs w:val="20"/>
      </w:rPr>
      <w:fldChar w:fldCharType="begin"/>
    </w:r>
    <w:r w:rsidRPr="00D01026">
      <w:rPr>
        <w:b/>
        <w:bCs/>
        <w:sz w:val="20"/>
        <w:szCs w:val="20"/>
      </w:rPr>
      <w:instrText>NUMPAGES</w:instrText>
    </w:r>
    <w:r w:rsidRPr="00D01026">
      <w:rPr>
        <w:b/>
        <w:bCs/>
        <w:sz w:val="20"/>
        <w:szCs w:val="20"/>
      </w:rPr>
      <w:fldChar w:fldCharType="separate"/>
    </w:r>
    <w:r w:rsidR="00480F7D">
      <w:rPr>
        <w:b/>
        <w:bCs/>
        <w:noProof/>
        <w:sz w:val="20"/>
        <w:szCs w:val="20"/>
      </w:rPr>
      <w:t>3</w:t>
    </w:r>
    <w:r w:rsidRPr="00D01026">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F01B4" w14:textId="77777777" w:rsidR="00C87425" w:rsidRPr="00180ADC" w:rsidRDefault="00C87425" w:rsidP="00D01026">
    <w:pPr>
      <w:pStyle w:val="aa"/>
      <w:jc w:val="center"/>
      <w:rPr>
        <w:color w:val="13133D"/>
        <w:sz w:val="20"/>
        <w:szCs w:val="20"/>
      </w:rPr>
    </w:pPr>
    <w:r w:rsidRPr="00180ADC">
      <w:rPr>
        <w:color w:val="13133D"/>
        <w:sz w:val="20"/>
        <w:szCs w:val="20"/>
      </w:rPr>
      <w:t xml:space="preserve">Сторінка </w:t>
    </w:r>
    <w:r w:rsidRPr="00180ADC">
      <w:rPr>
        <w:b/>
        <w:bCs/>
        <w:color w:val="13133D"/>
        <w:sz w:val="20"/>
        <w:szCs w:val="20"/>
      </w:rPr>
      <w:fldChar w:fldCharType="begin"/>
    </w:r>
    <w:r w:rsidRPr="00180ADC">
      <w:rPr>
        <w:b/>
        <w:bCs/>
        <w:color w:val="13133D"/>
        <w:sz w:val="20"/>
        <w:szCs w:val="20"/>
      </w:rPr>
      <w:instrText>PAGE</w:instrText>
    </w:r>
    <w:r w:rsidRPr="00180ADC">
      <w:rPr>
        <w:b/>
        <w:bCs/>
        <w:color w:val="13133D"/>
        <w:sz w:val="20"/>
        <w:szCs w:val="20"/>
      </w:rPr>
      <w:fldChar w:fldCharType="separate"/>
    </w:r>
    <w:r w:rsidR="00480F7D">
      <w:rPr>
        <w:b/>
        <w:bCs/>
        <w:noProof/>
        <w:color w:val="13133D"/>
        <w:sz w:val="20"/>
        <w:szCs w:val="20"/>
      </w:rPr>
      <w:t>3</w:t>
    </w:r>
    <w:r w:rsidRPr="00180ADC">
      <w:rPr>
        <w:b/>
        <w:bCs/>
        <w:color w:val="13133D"/>
        <w:sz w:val="20"/>
        <w:szCs w:val="20"/>
      </w:rPr>
      <w:fldChar w:fldCharType="end"/>
    </w:r>
    <w:r w:rsidRPr="00180ADC">
      <w:rPr>
        <w:color w:val="13133D"/>
        <w:sz w:val="20"/>
        <w:szCs w:val="20"/>
      </w:rPr>
      <w:t xml:space="preserve"> з </w:t>
    </w:r>
    <w:r w:rsidRPr="00180ADC">
      <w:rPr>
        <w:b/>
        <w:bCs/>
        <w:color w:val="13133D"/>
        <w:sz w:val="20"/>
        <w:szCs w:val="20"/>
      </w:rPr>
      <w:fldChar w:fldCharType="begin"/>
    </w:r>
    <w:r w:rsidRPr="00180ADC">
      <w:rPr>
        <w:b/>
        <w:bCs/>
        <w:color w:val="13133D"/>
        <w:sz w:val="20"/>
        <w:szCs w:val="20"/>
      </w:rPr>
      <w:instrText>NUMPAGES</w:instrText>
    </w:r>
    <w:r w:rsidRPr="00180ADC">
      <w:rPr>
        <w:b/>
        <w:bCs/>
        <w:color w:val="13133D"/>
        <w:sz w:val="20"/>
        <w:szCs w:val="20"/>
      </w:rPr>
      <w:fldChar w:fldCharType="separate"/>
    </w:r>
    <w:r w:rsidR="00480F7D">
      <w:rPr>
        <w:b/>
        <w:bCs/>
        <w:noProof/>
        <w:color w:val="13133D"/>
        <w:sz w:val="20"/>
        <w:szCs w:val="20"/>
      </w:rPr>
      <w:t>3</w:t>
    </w:r>
    <w:r w:rsidRPr="00180ADC">
      <w:rPr>
        <w:b/>
        <w:bCs/>
        <w:color w:val="13133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DA329" w14:textId="77777777" w:rsidR="009414E0" w:rsidRDefault="009414E0" w:rsidP="00D01026">
      <w:r>
        <w:separator/>
      </w:r>
    </w:p>
  </w:footnote>
  <w:footnote w:type="continuationSeparator" w:id="0">
    <w:p w14:paraId="27508459" w14:textId="77777777" w:rsidR="009414E0" w:rsidRDefault="009414E0" w:rsidP="00D01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2184C"/>
    <w:multiLevelType w:val="hybridMultilevel"/>
    <w:tmpl w:val="5324EE48"/>
    <w:lvl w:ilvl="0" w:tplc="04190005">
      <w:start w:val="1"/>
      <w:numFmt w:val="bullet"/>
      <w:lvlText w:val=""/>
      <w:lvlJc w:val="left"/>
      <w:pPr>
        <w:ind w:left="785"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6E248C"/>
    <w:multiLevelType w:val="hybridMultilevel"/>
    <w:tmpl w:val="74DC7D88"/>
    <w:lvl w:ilvl="0" w:tplc="19A2C7FA">
      <w:start w:val="1"/>
      <w:numFmt w:val="bullet"/>
      <w:lvlText w:val="-"/>
      <w:lvlJc w:val="left"/>
      <w:pPr>
        <w:ind w:left="928" w:hanging="360"/>
      </w:pPr>
      <w:rPr>
        <w:rFonts w:ascii="Times New Roman" w:hAnsi="Times New Roman" w:cs="Times New Roman" w:hint="default"/>
      </w:rPr>
    </w:lvl>
    <w:lvl w:ilvl="1" w:tplc="04220003" w:tentative="1">
      <w:start w:val="1"/>
      <w:numFmt w:val="bullet"/>
      <w:lvlText w:val="o"/>
      <w:lvlJc w:val="left"/>
      <w:pPr>
        <w:ind w:left="1648" w:hanging="360"/>
      </w:pPr>
      <w:rPr>
        <w:rFonts w:ascii="Courier New" w:hAnsi="Courier New" w:cs="Courier New" w:hint="default"/>
      </w:rPr>
    </w:lvl>
    <w:lvl w:ilvl="2" w:tplc="04220005" w:tentative="1">
      <w:start w:val="1"/>
      <w:numFmt w:val="bullet"/>
      <w:lvlText w:val=""/>
      <w:lvlJc w:val="left"/>
      <w:pPr>
        <w:ind w:left="2368" w:hanging="360"/>
      </w:pPr>
      <w:rPr>
        <w:rFonts w:ascii="Wingdings" w:hAnsi="Wingdings" w:hint="default"/>
      </w:rPr>
    </w:lvl>
    <w:lvl w:ilvl="3" w:tplc="04220001" w:tentative="1">
      <w:start w:val="1"/>
      <w:numFmt w:val="bullet"/>
      <w:lvlText w:val=""/>
      <w:lvlJc w:val="left"/>
      <w:pPr>
        <w:ind w:left="3088" w:hanging="360"/>
      </w:pPr>
      <w:rPr>
        <w:rFonts w:ascii="Symbol" w:hAnsi="Symbol" w:hint="default"/>
      </w:rPr>
    </w:lvl>
    <w:lvl w:ilvl="4" w:tplc="04220003" w:tentative="1">
      <w:start w:val="1"/>
      <w:numFmt w:val="bullet"/>
      <w:lvlText w:val="o"/>
      <w:lvlJc w:val="left"/>
      <w:pPr>
        <w:ind w:left="3808" w:hanging="360"/>
      </w:pPr>
      <w:rPr>
        <w:rFonts w:ascii="Courier New" w:hAnsi="Courier New" w:cs="Courier New" w:hint="default"/>
      </w:rPr>
    </w:lvl>
    <w:lvl w:ilvl="5" w:tplc="04220005" w:tentative="1">
      <w:start w:val="1"/>
      <w:numFmt w:val="bullet"/>
      <w:lvlText w:val=""/>
      <w:lvlJc w:val="left"/>
      <w:pPr>
        <w:ind w:left="4528" w:hanging="360"/>
      </w:pPr>
      <w:rPr>
        <w:rFonts w:ascii="Wingdings" w:hAnsi="Wingdings" w:hint="default"/>
      </w:rPr>
    </w:lvl>
    <w:lvl w:ilvl="6" w:tplc="04220001" w:tentative="1">
      <w:start w:val="1"/>
      <w:numFmt w:val="bullet"/>
      <w:lvlText w:val=""/>
      <w:lvlJc w:val="left"/>
      <w:pPr>
        <w:ind w:left="5248" w:hanging="360"/>
      </w:pPr>
      <w:rPr>
        <w:rFonts w:ascii="Symbol" w:hAnsi="Symbol" w:hint="default"/>
      </w:rPr>
    </w:lvl>
    <w:lvl w:ilvl="7" w:tplc="04220003" w:tentative="1">
      <w:start w:val="1"/>
      <w:numFmt w:val="bullet"/>
      <w:lvlText w:val="o"/>
      <w:lvlJc w:val="left"/>
      <w:pPr>
        <w:ind w:left="5968" w:hanging="360"/>
      </w:pPr>
      <w:rPr>
        <w:rFonts w:ascii="Courier New" w:hAnsi="Courier New" w:cs="Courier New" w:hint="default"/>
      </w:rPr>
    </w:lvl>
    <w:lvl w:ilvl="8" w:tplc="04220005" w:tentative="1">
      <w:start w:val="1"/>
      <w:numFmt w:val="bullet"/>
      <w:lvlText w:val=""/>
      <w:lvlJc w:val="left"/>
      <w:pPr>
        <w:ind w:left="6688" w:hanging="360"/>
      </w:pPr>
      <w:rPr>
        <w:rFonts w:ascii="Wingdings" w:hAnsi="Wingdings" w:hint="default"/>
      </w:rPr>
    </w:lvl>
  </w:abstractNum>
  <w:abstractNum w:abstractNumId="2" w15:restartNumberingAfterBreak="0">
    <w:nsid w:val="70D90E1C"/>
    <w:multiLevelType w:val="hybridMultilevel"/>
    <w:tmpl w:val="37668FDE"/>
    <w:lvl w:ilvl="0" w:tplc="119AA108">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44751655">
    <w:abstractNumId w:val="1"/>
  </w:num>
  <w:num w:numId="2" w16cid:durableId="2078673616">
    <w:abstractNumId w:val="0"/>
  </w:num>
  <w:num w:numId="3" w16cid:durableId="124610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08"/>
  <w:hyphenationZone w:val="425"/>
  <w:evenAndOddHeaders/>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BE"/>
    <w:rsid w:val="00003261"/>
    <w:rsid w:val="000126BA"/>
    <w:rsid w:val="00012D81"/>
    <w:rsid w:val="00020911"/>
    <w:rsid w:val="000251D1"/>
    <w:rsid w:val="000327A3"/>
    <w:rsid w:val="0003326A"/>
    <w:rsid w:val="000551D6"/>
    <w:rsid w:val="000605C3"/>
    <w:rsid w:val="00063265"/>
    <w:rsid w:val="00073008"/>
    <w:rsid w:val="00074A5A"/>
    <w:rsid w:val="00076278"/>
    <w:rsid w:val="0008305C"/>
    <w:rsid w:val="0008468D"/>
    <w:rsid w:val="000A5BB6"/>
    <w:rsid w:val="000A752C"/>
    <w:rsid w:val="000B50BA"/>
    <w:rsid w:val="000C09C4"/>
    <w:rsid w:val="000C130E"/>
    <w:rsid w:val="000D0716"/>
    <w:rsid w:val="000D0F3D"/>
    <w:rsid w:val="000E4361"/>
    <w:rsid w:val="00100EA7"/>
    <w:rsid w:val="00115B9A"/>
    <w:rsid w:val="001232A9"/>
    <w:rsid w:val="0012544D"/>
    <w:rsid w:val="00133689"/>
    <w:rsid w:val="00135191"/>
    <w:rsid w:val="0014289B"/>
    <w:rsid w:val="00147BFA"/>
    <w:rsid w:val="00155754"/>
    <w:rsid w:val="00166603"/>
    <w:rsid w:val="00176ED9"/>
    <w:rsid w:val="00180ADC"/>
    <w:rsid w:val="001900B1"/>
    <w:rsid w:val="00193BFE"/>
    <w:rsid w:val="00197A16"/>
    <w:rsid w:val="001C33C1"/>
    <w:rsid w:val="001D0B25"/>
    <w:rsid w:val="001D4A1D"/>
    <w:rsid w:val="001E05B4"/>
    <w:rsid w:val="001E25C8"/>
    <w:rsid w:val="001E7262"/>
    <w:rsid w:val="001F583F"/>
    <w:rsid w:val="001F5E26"/>
    <w:rsid w:val="001F7519"/>
    <w:rsid w:val="0021216F"/>
    <w:rsid w:val="00223467"/>
    <w:rsid w:val="00225AB9"/>
    <w:rsid w:val="00233313"/>
    <w:rsid w:val="0024438F"/>
    <w:rsid w:val="00252B08"/>
    <w:rsid w:val="002623CD"/>
    <w:rsid w:val="002652D2"/>
    <w:rsid w:val="002667C5"/>
    <w:rsid w:val="00267569"/>
    <w:rsid w:val="00271A2B"/>
    <w:rsid w:val="0027248C"/>
    <w:rsid w:val="002746B4"/>
    <w:rsid w:val="00276550"/>
    <w:rsid w:val="002819C3"/>
    <w:rsid w:val="002843A2"/>
    <w:rsid w:val="00294F3C"/>
    <w:rsid w:val="002A4133"/>
    <w:rsid w:val="002B0378"/>
    <w:rsid w:val="002B228F"/>
    <w:rsid w:val="002B5262"/>
    <w:rsid w:val="002C47E5"/>
    <w:rsid w:val="002D3839"/>
    <w:rsid w:val="002D7C56"/>
    <w:rsid w:val="002E4061"/>
    <w:rsid w:val="002F10C5"/>
    <w:rsid w:val="002F767B"/>
    <w:rsid w:val="0030129C"/>
    <w:rsid w:val="00305AB7"/>
    <w:rsid w:val="00314546"/>
    <w:rsid w:val="003221EC"/>
    <w:rsid w:val="003235E9"/>
    <w:rsid w:val="0032385E"/>
    <w:rsid w:val="00327EA8"/>
    <w:rsid w:val="003314AC"/>
    <w:rsid w:val="003361AB"/>
    <w:rsid w:val="00344C85"/>
    <w:rsid w:val="003452CC"/>
    <w:rsid w:val="003466C2"/>
    <w:rsid w:val="00347755"/>
    <w:rsid w:val="00356163"/>
    <w:rsid w:val="00357BF9"/>
    <w:rsid w:val="00357F91"/>
    <w:rsid w:val="00363027"/>
    <w:rsid w:val="003633F1"/>
    <w:rsid w:val="00363DBB"/>
    <w:rsid w:val="0037420C"/>
    <w:rsid w:val="00376442"/>
    <w:rsid w:val="00376EFA"/>
    <w:rsid w:val="00383AF8"/>
    <w:rsid w:val="0038729F"/>
    <w:rsid w:val="00390AAA"/>
    <w:rsid w:val="00391E35"/>
    <w:rsid w:val="00394A93"/>
    <w:rsid w:val="003959A6"/>
    <w:rsid w:val="003A376F"/>
    <w:rsid w:val="003B6579"/>
    <w:rsid w:val="003C05F7"/>
    <w:rsid w:val="003C3F6D"/>
    <w:rsid w:val="003D47C6"/>
    <w:rsid w:val="003D6D6E"/>
    <w:rsid w:val="003E3C94"/>
    <w:rsid w:val="003F048D"/>
    <w:rsid w:val="00402C83"/>
    <w:rsid w:val="004030D0"/>
    <w:rsid w:val="00407C87"/>
    <w:rsid w:val="00421C94"/>
    <w:rsid w:val="004265DE"/>
    <w:rsid w:val="004455CB"/>
    <w:rsid w:val="00446F90"/>
    <w:rsid w:val="0045363A"/>
    <w:rsid w:val="004540B3"/>
    <w:rsid w:val="00455463"/>
    <w:rsid w:val="0045567C"/>
    <w:rsid w:val="0045702A"/>
    <w:rsid w:val="004614F9"/>
    <w:rsid w:val="00480F7D"/>
    <w:rsid w:val="00482324"/>
    <w:rsid w:val="00485DC8"/>
    <w:rsid w:val="004866E9"/>
    <w:rsid w:val="004925D0"/>
    <w:rsid w:val="004A39FC"/>
    <w:rsid w:val="004A3D5C"/>
    <w:rsid w:val="004A46F4"/>
    <w:rsid w:val="004B1397"/>
    <w:rsid w:val="004C3DA8"/>
    <w:rsid w:val="004C4950"/>
    <w:rsid w:val="004D2821"/>
    <w:rsid w:val="004D489D"/>
    <w:rsid w:val="004D54B1"/>
    <w:rsid w:val="004D55BA"/>
    <w:rsid w:val="004D662E"/>
    <w:rsid w:val="004E3A4A"/>
    <w:rsid w:val="004F0264"/>
    <w:rsid w:val="004F0769"/>
    <w:rsid w:val="00500F99"/>
    <w:rsid w:val="005015DB"/>
    <w:rsid w:val="005113F7"/>
    <w:rsid w:val="00511E21"/>
    <w:rsid w:val="00512909"/>
    <w:rsid w:val="00522ECD"/>
    <w:rsid w:val="00524D96"/>
    <w:rsid w:val="005331B9"/>
    <w:rsid w:val="00534C56"/>
    <w:rsid w:val="005405A2"/>
    <w:rsid w:val="00541FC4"/>
    <w:rsid w:val="00553837"/>
    <w:rsid w:val="00553D11"/>
    <w:rsid w:val="00562CE0"/>
    <w:rsid w:val="0056570D"/>
    <w:rsid w:val="00573F94"/>
    <w:rsid w:val="00576170"/>
    <w:rsid w:val="00583DB4"/>
    <w:rsid w:val="00587FB8"/>
    <w:rsid w:val="005913A9"/>
    <w:rsid w:val="005940FD"/>
    <w:rsid w:val="0059419D"/>
    <w:rsid w:val="005B0148"/>
    <w:rsid w:val="005B52F8"/>
    <w:rsid w:val="005D11BE"/>
    <w:rsid w:val="005D3995"/>
    <w:rsid w:val="005D757B"/>
    <w:rsid w:val="005D7721"/>
    <w:rsid w:val="005D7B40"/>
    <w:rsid w:val="005E543D"/>
    <w:rsid w:val="005E7E04"/>
    <w:rsid w:val="005F20B9"/>
    <w:rsid w:val="005F4CDE"/>
    <w:rsid w:val="005F5103"/>
    <w:rsid w:val="005F5E02"/>
    <w:rsid w:val="005F6F78"/>
    <w:rsid w:val="00605828"/>
    <w:rsid w:val="006121C2"/>
    <w:rsid w:val="006124F2"/>
    <w:rsid w:val="00620094"/>
    <w:rsid w:val="00621474"/>
    <w:rsid w:val="006303F7"/>
    <w:rsid w:val="00633B3E"/>
    <w:rsid w:val="0064214A"/>
    <w:rsid w:val="00642F68"/>
    <w:rsid w:val="006469E1"/>
    <w:rsid w:val="006533B7"/>
    <w:rsid w:val="00653DD1"/>
    <w:rsid w:val="006540CC"/>
    <w:rsid w:val="006569C1"/>
    <w:rsid w:val="006679B7"/>
    <w:rsid w:val="006701ED"/>
    <w:rsid w:val="00670B5A"/>
    <w:rsid w:val="00674057"/>
    <w:rsid w:val="0067479F"/>
    <w:rsid w:val="00687489"/>
    <w:rsid w:val="006940E2"/>
    <w:rsid w:val="006967B6"/>
    <w:rsid w:val="006A142B"/>
    <w:rsid w:val="006A5658"/>
    <w:rsid w:val="006C1928"/>
    <w:rsid w:val="006D6B85"/>
    <w:rsid w:val="006E3BEB"/>
    <w:rsid w:val="006F2C56"/>
    <w:rsid w:val="006F5A21"/>
    <w:rsid w:val="00700623"/>
    <w:rsid w:val="0071788D"/>
    <w:rsid w:val="00730055"/>
    <w:rsid w:val="00730573"/>
    <w:rsid w:val="00735F25"/>
    <w:rsid w:val="00736D0E"/>
    <w:rsid w:val="0074271C"/>
    <w:rsid w:val="00747B2B"/>
    <w:rsid w:val="00774120"/>
    <w:rsid w:val="00776AFE"/>
    <w:rsid w:val="00781564"/>
    <w:rsid w:val="007817DB"/>
    <w:rsid w:val="007831E0"/>
    <w:rsid w:val="0079320D"/>
    <w:rsid w:val="007A1EF5"/>
    <w:rsid w:val="007A383B"/>
    <w:rsid w:val="007A4905"/>
    <w:rsid w:val="007A5041"/>
    <w:rsid w:val="007A54C1"/>
    <w:rsid w:val="007B0F32"/>
    <w:rsid w:val="007B1E63"/>
    <w:rsid w:val="007B36F8"/>
    <w:rsid w:val="007C620A"/>
    <w:rsid w:val="007D1ED0"/>
    <w:rsid w:val="007E51FD"/>
    <w:rsid w:val="007E7898"/>
    <w:rsid w:val="007F01B3"/>
    <w:rsid w:val="007F0C55"/>
    <w:rsid w:val="007F0FDE"/>
    <w:rsid w:val="007F23D0"/>
    <w:rsid w:val="00803EB4"/>
    <w:rsid w:val="00814E67"/>
    <w:rsid w:val="00815CB9"/>
    <w:rsid w:val="0082250F"/>
    <w:rsid w:val="008243F4"/>
    <w:rsid w:val="00827354"/>
    <w:rsid w:val="008333DC"/>
    <w:rsid w:val="0084037A"/>
    <w:rsid w:val="00842A07"/>
    <w:rsid w:val="0084706A"/>
    <w:rsid w:val="0084781B"/>
    <w:rsid w:val="00850883"/>
    <w:rsid w:val="00857999"/>
    <w:rsid w:val="00857E5D"/>
    <w:rsid w:val="0086288E"/>
    <w:rsid w:val="008669C2"/>
    <w:rsid w:val="008701CB"/>
    <w:rsid w:val="0087747B"/>
    <w:rsid w:val="00880ADA"/>
    <w:rsid w:val="00885AD8"/>
    <w:rsid w:val="00885E65"/>
    <w:rsid w:val="008863DC"/>
    <w:rsid w:val="008A0FDB"/>
    <w:rsid w:val="008A1E03"/>
    <w:rsid w:val="008B6AAE"/>
    <w:rsid w:val="008B789C"/>
    <w:rsid w:val="008C1A46"/>
    <w:rsid w:val="008C6232"/>
    <w:rsid w:val="008C71E2"/>
    <w:rsid w:val="008F3341"/>
    <w:rsid w:val="008F48EF"/>
    <w:rsid w:val="00901EB9"/>
    <w:rsid w:val="0090380F"/>
    <w:rsid w:val="00907648"/>
    <w:rsid w:val="00910FB7"/>
    <w:rsid w:val="009129AB"/>
    <w:rsid w:val="009246BC"/>
    <w:rsid w:val="00926D4C"/>
    <w:rsid w:val="00926E18"/>
    <w:rsid w:val="00927770"/>
    <w:rsid w:val="009335B3"/>
    <w:rsid w:val="00933917"/>
    <w:rsid w:val="009348B6"/>
    <w:rsid w:val="00934FD6"/>
    <w:rsid w:val="00935133"/>
    <w:rsid w:val="00940607"/>
    <w:rsid w:val="009414E0"/>
    <w:rsid w:val="00944443"/>
    <w:rsid w:val="0095262A"/>
    <w:rsid w:val="00961FDA"/>
    <w:rsid w:val="0096217A"/>
    <w:rsid w:val="009643A5"/>
    <w:rsid w:val="00965FD1"/>
    <w:rsid w:val="0098110C"/>
    <w:rsid w:val="009825B0"/>
    <w:rsid w:val="009861AE"/>
    <w:rsid w:val="00991122"/>
    <w:rsid w:val="009A0501"/>
    <w:rsid w:val="009A2D12"/>
    <w:rsid w:val="009A38C4"/>
    <w:rsid w:val="009A473B"/>
    <w:rsid w:val="009A7039"/>
    <w:rsid w:val="009B3A0F"/>
    <w:rsid w:val="009B477E"/>
    <w:rsid w:val="009B4E2B"/>
    <w:rsid w:val="009B5B0C"/>
    <w:rsid w:val="009C3431"/>
    <w:rsid w:val="009C52FC"/>
    <w:rsid w:val="009D0E25"/>
    <w:rsid w:val="009D106D"/>
    <w:rsid w:val="009D50A1"/>
    <w:rsid w:val="009D6E2C"/>
    <w:rsid w:val="009E1D4B"/>
    <w:rsid w:val="009E6A13"/>
    <w:rsid w:val="009F1F3A"/>
    <w:rsid w:val="009F24DF"/>
    <w:rsid w:val="009F2820"/>
    <w:rsid w:val="009F5D0B"/>
    <w:rsid w:val="009F5ECE"/>
    <w:rsid w:val="00A0688A"/>
    <w:rsid w:val="00A1637F"/>
    <w:rsid w:val="00A21047"/>
    <w:rsid w:val="00A21FF9"/>
    <w:rsid w:val="00A24807"/>
    <w:rsid w:val="00A2787A"/>
    <w:rsid w:val="00A40F7E"/>
    <w:rsid w:val="00A41C09"/>
    <w:rsid w:val="00A41D35"/>
    <w:rsid w:val="00A42B34"/>
    <w:rsid w:val="00A52BD3"/>
    <w:rsid w:val="00A71792"/>
    <w:rsid w:val="00A75941"/>
    <w:rsid w:val="00A80544"/>
    <w:rsid w:val="00A873DD"/>
    <w:rsid w:val="00A907F8"/>
    <w:rsid w:val="00AA3CAD"/>
    <w:rsid w:val="00AA4369"/>
    <w:rsid w:val="00AB12D8"/>
    <w:rsid w:val="00AC4B7A"/>
    <w:rsid w:val="00AE29E5"/>
    <w:rsid w:val="00AE2F9F"/>
    <w:rsid w:val="00AE44C3"/>
    <w:rsid w:val="00AE4894"/>
    <w:rsid w:val="00AE590A"/>
    <w:rsid w:val="00AF0915"/>
    <w:rsid w:val="00AF4157"/>
    <w:rsid w:val="00AF454E"/>
    <w:rsid w:val="00AF744D"/>
    <w:rsid w:val="00AF7DED"/>
    <w:rsid w:val="00B16D0D"/>
    <w:rsid w:val="00B25341"/>
    <w:rsid w:val="00B26249"/>
    <w:rsid w:val="00B30BD6"/>
    <w:rsid w:val="00B366FD"/>
    <w:rsid w:val="00B40094"/>
    <w:rsid w:val="00B467DF"/>
    <w:rsid w:val="00B50556"/>
    <w:rsid w:val="00B542A2"/>
    <w:rsid w:val="00B60DE6"/>
    <w:rsid w:val="00B62A02"/>
    <w:rsid w:val="00B72B8A"/>
    <w:rsid w:val="00B75BA2"/>
    <w:rsid w:val="00B90447"/>
    <w:rsid w:val="00B92A13"/>
    <w:rsid w:val="00B9462E"/>
    <w:rsid w:val="00BA117C"/>
    <w:rsid w:val="00BA323F"/>
    <w:rsid w:val="00BB09B3"/>
    <w:rsid w:val="00BB4E15"/>
    <w:rsid w:val="00BB568E"/>
    <w:rsid w:val="00BB5B81"/>
    <w:rsid w:val="00BC4ACF"/>
    <w:rsid w:val="00BC660D"/>
    <w:rsid w:val="00BC69EB"/>
    <w:rsid w:val="00BC6C67"/>
    <w:rsid w:val="00BD662C"/>
    <w:rsid w:val="00BD7291"/>
    <w:rsid w:val="00BE5AE0"/>
    <w:rsid w:val="00BE7F51"/>
    <w:rsid w:val="00BF2678"/>
    <w:rsid w:val="00BF6E32"/>
    <w:rsid w:val="00C012E1"/>
    <w:rsid w:val="00C042DF"/>
    <w:rsid w:val="00C06C02"/>
    <w:rsid w:val="00C0713B"/>
    <w:rsid w:val="00C1500E"/>
    <w:rsid w:val="00C15921"/>
    <w:rsid w:val="00C16477"/>
    <w:rsid w:val="00C2422E"/>
    <w:rsid w:val="00C27899"/>
    <w:rsid w:val="00C44E90"/>
    <w:rsid w:val="00C45D2E"/>
    <w:rsid w:val="00C47E47"/>
    <w:rsid w:val="00C61C95"/>
    <w:rsid w:val="00C63EE1"/>
    <w:rsid w:val="00C64467"/>
    <w:rsid w:val="00C71E95"/>
    <w:rsid w:val="00C72841"/>
    <w:rsid w:val="00C8086F"/>
    <w:rsid w:val="00C87425"/>
    <w:rsid w:val="00C920DC"/>
    <w:rsid w:val="00C952C2"/>
    <w:rsid w:val="00C96BD7"/>
    <w:rsid w:val="00CC776C"/>
    <w:rsid w:val="00CD0E5F"/>
    <w:rsid w:val="00CE0196"/>
    <w:rsid w:val="00CE3374"/>
    <w:rsid w:val="00CE48C1"/>
    <w:rsid w:val="00CF3E95"/>
    <w:rsid w:val="00CF3EEC"/>
    <w:rsid w:val="00D01026"/>
    <w:rsid w:val="00D07FE0"/>
    <w:rsid w:val="00D15771"/>
    <w:rsid w:val="00D16987"/>
    <w:rsid w:val="00D238F8"/>
    <w:rsid w:val="00D25082"/>
    <w:rsid w:val="00D271BA"/>
    <w:rsid w:val="00D3427B"/>
    <w:rsid w:val="00D34D10"/>
    <w:rsid w:val="00D444E8"/>
    <w:rsid w:val="00D45975"/>
    <w:rsid w:val="00D46FE1"/>
    <w:rsid w:val="00D47992"/>
    <w:rsid w:val="00D571FF"/>
    <w:rsid w:val="00D6110D"/>
    <w:rsid w:val="00D6441E"/>
    <w:rsid w:val="00D74CB9"/>
    <w:rsid w:val="00D76B17"/>
    <w:rsid w:val="00D771E2"/>
    <w:rsid w:val="00D8210F"/>
    <w:rsid w:val="00D930DB"/>
    <w:rsid w:val="00D97199"/>
    <w:rsid w:val="00DA01B5"/>
    <w:rsid w:val="00DA1B7D"/>
    <w:rsid w:val="00DA3296"/>
    <w:rsid w:val="00DB0EDA"/>
    <w:rsid w:val="00DB4CF6"/>
    <w:rsid w:val="00DB5471"/>
    <w:rsid w:val="00DC3302"/>
    <w:rsid w:val="00DD176A"/>
    <w:rsid w:val="00DD316D"/>
    <w:rsid w:val="00DD7564"/>
    <w:rsid w:val="00DF2379"/>
    <w:rsid w:val="00DF28BF"/>
    <w:rsid w:val="00E10B32"/>
    <w:rsid w:val="00E21062"/>
    <w:rsid w:val="00E26178"/>
    <w:rsid w:val="00E356BC"/>
    <w:rsid w:val="00E441C9"/>
    <w:rsid w:val="00E45811"/>
    <w:rsid w:val="00E47483"/>
    <w:rsid w:val="00E475A3"/>
    <w:rsid w:val="00E52D0F"/>
    <w:rsid w:val="00E6119B"/>
    <w:rsid w:val="00E67C6D"/>
    <w:rsid w:val="00E72035"/>
    <w:rsid w:val="00E7532D"/>
    <w:rsid w:val="00E91259"/>
    <w:rsid w:val="00EA5FFC"/>
    <w:rsid w:val="00EB02A8"/>
    <w:rsid w:val="00EB2532"/>
    <w:rsid w:val="00EB3318"/>
    <w:rsid w:val="00EB66A3"/>
    <w:rsid w:val="00EC3D05"/>
    <w:rsid w:val="00ED3B3B"/>
    <w:rsid w:val="00EE0D91"/>
    <w:rsid w:val="00EE1DBB"/>
    <w:rsid w:val="00EE5857"/>
    <w:rsid w:val="00EF18C4"/>
    <w:rsid w:val="00F01E4E"/>
    <w:rsid w:val="00F02988"/>
    <w:rsid w:val="00F1746F"/>
    <w:rsid w:val="00F253C7"/>
    <w:rsid w:val="00F27EC8"/>
    <w:rsid w:val="00F302BB"/>
    <w:rsid w:val="00F377AE"/>
    <w:rsid w:val="00F43B2B"/>
    <w:rsid w:val="00F45483"/>
    <w:rsid w:val="00F462FD"/>
    <w:rsid w:val="00F52B9A"/>
    <w:rsid w:val="00F52FF9"/>
    <w:rsid w:val="00F61FAA"/>
    <w:rsid w:val="00F62F17"/>
    <w:rsid w:val="00F655FA"/>
    <w:rsid w:val="00F76EE3"/>
    <w:rsid w:val="00F82DEE"/>
    <w:rsid w:val="00F8320B"/>
    <w:rsid w:val="00F91C0F"/>
    <w:rsid w:val="00FA2B08"/>
    <w:rsid w:val="00FA37B7"/>
    <w:rsid w:val="00FA7B0E"/>
    <w:rsid w:val="00FB291C"/>
    <w:rsid w:val="00FB2D47"/>
    <w:rsid w:val="00FB39DC"/>
    <w:rsid w:val="00FC2E08"/>
    <w:rsid w:val="00FC70D0"/>
    <w:rsid w:val="00FC7A50"/>
    <w:rsid w:val="00FE29E1"/>
    <w:rsid w:val="00FE2EFC"/>
    <w:rsid w:val="00FF0A10"/>
    <w:rsid w:val="00FF1F16"/>
    <w:rsid w:val="00FF53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6AEE9"/>
  <w15:docId w15:val="{16E9392D-828F-49FD-AA94-EFB7A9E0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11BE"/>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32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
    <w:name w:val="DOC"/>
    <w:basedOn w:val="a"/>
    <w:qFormat/>
    <w:rsid w:val="00B9462E"/>
    <w:pPr>
      <w:spacing w:after="120"/>
      <w:ind w:firstLine="851"/>
      <w:jc w:val="both"/>
    </w:pPr>
    <w:rPr>
      <w:bCs/>
      <w:color w:val="000000"/>
      <w:szCs w:val="22"/>
      <w:lang w:eastAsia="ru-RU"/>
    </w:rPr>
  </w:style>
  <w:style w:type="paragraph" w:styleId="a4">
    <w:name w:val="Normal (Web)"/>
    <w:basedOn w:val="a"/>
    <w:uiPriority w:val="99"/>
    <w:rsid w:val="00BA117C"/>
    <w:pPr>
      <w:suppressAutoHyphens/>
      <w:spacing w:before="280" w:after="280"/>
    </w:pPr>
    <w:rPr>
      <w:lang w:val="ru-RU" w:eastAsia="ar-SA"/>
    </w:rPr>
  </w:style>
  <w:style w:type="character" w:styleId="a5">
    <w:name w:val="Hyperlink"/>
    <w:rsid w:val="008F3341"/>
    <w:rPr>
      <w:color w:val="0000FF"/>
      <w:u w:val="single"/>
    </w:rPr>
  </w:style>
  <w:style w:type="paragraph" w:styleId="a6">
    <w:name w:val="Balloon Text"/>
    <w:basedOn w:val="a"/>
    <w:link w:val="a7"/>
    <w:rsid w:val="001232A9"/>
    <w:rPr>
      <w:rFonts w:ascii="Tahoma" w:hAnsi="Tahoma" w:cs="Tahoma"/>
      <w:sz w:val="16"/>
      <w:szCs w:val="16"/>
    </w:rPr>
  </w:style>
  <w:style w:type="character" w:customStyle="1" w:styleId="a7">
    <w:name w:val="Текст у виносці Знак"/>
    <w:basedOn w:val="a0"/>
    <w:link w:val="a6"/>
    <w:rsid w:val="001232A9"/>
    <w:rPr>
      <w:rFonts w:ascii="Tahoma" w:hAnsi="Tahoma" w:cs="Tahoma"/>
      <w:sz w:val="16"/>
      <w:szCs w:val="16"/>
    </w:rPr>
  </w:style>
  <w:style w:type="paragraph" w:styleId="a8">
    <w:name w:val="header"/>
    <w:basedOn w:val="a"/>
    <w:link w:val="a9"/>
    <w:rsid w:val="00D01026"/>
    <w:pPr>
      <w:tabs>
        <w:tab w:val="center" w:pos="4677"/>
        <w:tab w:val="right" w:pos="9355"/>
      </w:tabs>
    </w:pPr>
  </w:style>
  <w:style w:type="character" w:customStyle="1" w:styleId="a9">
    <w:name w:val="Верхній колонтитул Знак"/>
    <w:basedOn w:val="a0"/>
    <w:link w:val="a8"/>
    <w:rsid w:val="00D01026"/>
    <w:rPr>
      <w:sz w:val="24"/>
      <w:szCs w:val="24"/>
    </w:rPr>
  </w:style>
  <w:style w:type="paragraph" w:styleId="aa">
    <w:name w:val="footer"/>
    <w:basedOn w:val="a"/>
    <w:link w:val="ab"/>
    <w:uiPriority w:val="99"/>
    <w:rsid w:val="00D01026"/>
    <w:pPr>
      <w:tabs>
        <w:tab w:val="center" w:pos="4677"/>
        <w:tab w:val="right" w:pos="9355"/>
      </w:tabs>
    </w:pPr>
  </w:style>
  <w:style w:type="character" w:customStyle="1" w:styleId="ab">
    <w:name w:val="Нижній колонтитул Знак"/>
    <w:basedOn w:val="a0"/>
    <w:link w:val="aa"/>
    <w:uiPriority w:val="99"/>
    <w:rsid w:val="00D01026"/>
    <w:rPr>
      <w:sz w:val="24"/>
      <w:szCs w:val="24"/>
    </w:rPr>
  </w:style>
  <w:style w:type="character" w:styleId="ac">
    <w:name w:val="Placeholder Text"/>
    <w:basedOn w:val="a0"/>
    <w:uiPriority w:val="99"/>
    <w:semiHidden/>
    <w:rsid w:val="00D571FF"/>
    <w:rPr>
      <w:color w:val="808080"/>
    </w:rPr>
  </w:style>
  <w:style w:type="paragraph" w:styleId="ad">
    <w:name w:val="List Paragraph"/>
    <w:basedOn w:val="a"/>
    <w:uiPriority w:val="34"/>
    <w:qFormat/>
    <w:rsid w:val="005F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407134">
      <w:bodyDiv w:val="1"/>
      <w:marLeft w:val="0"/>
      <w:marRight w:val="0"/>
      <w:marTop w:val="0"/>
      <w:marBottom w:val="0"/>
      <w:divBdr>
        <w:top w:val="none" w:sz="0" w:space="0" w:color="auto"/>
        <w:left w:val="none" w:sz="0" w:space="0" w:color="auto"/>
        <w:bottom w:val="none" w:sz="0" w:space="0" w:color="auto"/>
        <w:right w:val="none" w:sz="0" w:space="0" w:color="auto"/>
      </w:divBdr>
    </w:div>
    <w:div w:id="1057515143">
      <w:bodyDiv w:val="1"/>
      <w:marLeft w:val="0"/>
      <w:marRight w:val="0"/>
      <w:marTop w:val="0"/>
      <w:marBottom w:val="0"/>
      <w:divBdr>
        <w:top w:val="none" w:sz="0" w:space="0" w:color="auto"/>
        <w:left w:val="none" w:sz="0" w:space="0" w:color="auto"/>
        <w:bottom w:val="none" w:sz="0" w:space="0" w:color="auto"/>
        <w:right w:val="none" w:sz="0" w:space="0" w:color="auto"/>
      </w:divBdr>
    </w:div>
    <w:div w:id="1154106808">
      <w:bodyDiv w:val="1"/>
      <w:marLeft w:val="0"/>
      <w:marRight w:val="0"/>
      <w:marTop w:val="0"/>
      <w:marBottom w:val="0"/>
      <w:divBdr>
        <w:top w:val="none" w:sz="0" w:space="0" w:color="auto"/>
        <w:left w:val="none" w:sz="0" w:space="0" w:color="auto"/>
        <w:bottom w:val="none" w:sz="0" w:space="0" w:color="auto"/>
        <w:right w:val="none" w:sz="0" w:space="0" w:color="auto"/>
      </w:divBdr>
    </w:div>
    <w:div w:id="1612275097">
      <w:bodyDiv w:val="1"/>
      <w:marLeft w:val="0"/>
      <w:marRight w:val="0"/>
      <w:marTop w:val="0"/>
      <w:marBottom w:val="0"/>
      <w:divBdr>
        <w:top w:val="none" w:sz="0" w:space="0" w:color="auto"/>
        <w:left w:val="none" w:sz="0" w:space="0" w:color="auto"/>
        <w:bottom w:val="none" w:sz="0" w:space="0" w:color="auto"/>
        <w:right w:val="none" w:sz="0" w:space="0" w:color="auto"/>
      </w:divBdr>
    </w:div>
    <w:div w:id="19110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5471</Words>
  <Characters>3120</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Olga Zhytchenko</cp:lastModifiedBy>
  <cp:revision>2</cp:revision>
  <cp:lastPrinted>2024-09-06T12:50:00Z</cp:lastPrinted>
  <dcterms:created xsi:type="dcterms:W3CDTF">2025-02-24T19:35:00Z</dcterms:created>
  <dcterms:modified xsi:type="dcterms:W3CDTF">2025-02-24T19:35:00Z</dcterms:modified>
</cp:coreProperties>
</file>