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A463C1" w14:textId="77777777" w:rsidR="00332A48" w:rsidRDefault="00180294">
      <w:r>
        <w:rPr>
          <w:noProof/>
        </w:rPr>
        <w:drawing>
          <wp:inline distT="0" distB="0" distL="114300" distR="114300" wp14:anchorId="1FADCA09" wp14:editId="692C6D9F">
            <wp:extent cx="1734185" cy="75819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0B93BB02" w14:textId="77777777" w:rsidR="00332A48" w:rsidRDefault="00332A48">
      <w:pPr>
        <w:rPr>
          <w:rFonts w:ascii="Calibri" w:eastAsia="Calibri" w:hAnsi="Calibri" w:cs="Calibri"/>
          <w:sz w:val="28"/>
          <w:szCs w:val="28"/>
        </w:rPr>
      </w:pPr>
    </w:p>
    <w:p w14:paraId="3D79F1AD" w14:textId="77777777" w:rsidR="00332A48" w:rsidRDefault="00180294">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0A394B4C" w14:textId="77777777" w:rsidR="00332A48" w:rsidRDefault="00180294">
      <w:pPr>
        <w:jc w:val="center"/>
        <w:rPr>
          <w:rFonts w:ascii="Garamond" w:eastAsia="Garamond" w:hAnsi="Garamond" w:cs="Garamond"/>
        </w:rPr>
      </w:pPr>
      <w:r>
        <w:rPr>
          <w:rFonts w:ascii="Garamond" w:eastAsia="Garamond" w:hAnsi="Garamond" w:cs="Garamond"/>
          <w:b/>
        </w:rPr>
        <w:tab/>
      </w:r>
    </w:p>
    <w:p w14:paraId="530A6718" w14:textId="77777777" w:rsidR="00332A48" w:rsidRDefault="00180294">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5121DE4E" w14:textId="77777777" w:rsidR="00332A48" w:rsidRDefault="00180294">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1B5A4755" w14:textId="77777777" w:rsidR="00332A48" w:rsidRDefault="00180294">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716F380E" w14:textId="77777777" w:rsidR="00332A48" w:rsidRDefault="00180294">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Bachelor of Science, Software Engineering</w:t>
      </w:r>
    </w:p>
    <w:p w14:paraId="52C6696C" w14:textId="77777777" w:rsidR="00332A48" w:rsidRDefault="00332A48">
      <w:pPr>
        <w:rPr>
          <w:rFonts w:ascii="Garamond" w:eastAsia="Garamond" w:hAnsi="Garamond" w:cs="Garamond"/>
        </w:rPr>
      </w:pPr>
    </w:p>
    <w:p w14:paraId="20C72349"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12A17333"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p>
    <w:p w14:paraId="56CD3089" w14:textId="77777777" w:rsidR="00332A48" w:rsidRDefault="00180294">
      <w:pPr>
        <w:spacing w:after="120"/>
        <w:ind w:firstLine="720"/>
        <w:rPr>
          <w:rFonts w:ascii="Garamond" w:eastAsia="Garamond" w:hAnsi="Garamond" w:cs="Garamond"/>
        </w:rPr>
      </w:pPr>
      <w:r>
        <w:rPr>
          <w:rFonts w:ascii="Garamond" w:eastAsia="Garamond" w:hAnsi="Garamond" w:cs="Garamond"/>
        </w:rPr>
        <w:t xml:space="preserve">14.0903, Computer Software Engineering </w:t>
      </w:r>
    </w:p>
    <w:p w14:paraId="3C807CBD" w14:textId="77777777" w:rsidR="00B059A6" w:rsidRDefault="00B059A6">
      <w:pPr>
        <w:spacing w:after="120"/>
        <w:ind w:firstLine="720"/>
        <w:rPr>
          <w:rFonts w:ascii="Garamond" w:eastAsia="Garamond" w:hAnsi="Garamond" w:cs="Garamond"/>
          <w:color w:val="FF0000"/>
        </w:rPr>
      </w:pPr>
    </w:p>
    <w:p w14:paraId="18CBDCC7"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connections; program objectives; programmatic focus; degree, certificate, minor, and concentrations offered.</w:t>
      </w:r>
    </w:p>
    <w:p w14:paraId="5FE16C13" w14:textId="1C1A7F78" w:rsidR="00332A48" w:rsidRDefault="00180294">
      <w:pPr>
        <w:spacing w:after="120"/>
        <w:ind w:left="720"/>
        <w:rPr>
          <w:rFonts w:ascii="Garamond" w:eastAsia="Garamond" w:hAnsi="Garamond" w:cs="Garamond"/>
        </w:rPr>
      </w:pPr>
      <w:r>
        <w:rPr>
          <w:rFonts w:ascii="Garamond" w:eastAsia="Garamond" w:hAnsi="Garamond" w:cs="Garamond"/>
        </w:rPr>
        <w:t xml:space="preserve">People tend to equate computer science with “learning to code” or computer programming: the practice of writing software that </w:t>
      </w:r>
      <w:r w:rsidR="008A114F">
        <w:rPr>
          <w:rFonts w:ascii="Garamond" w:eastAsia="Garamond" w:hAnsi="Garamond" w:cs="Garamond"/>
        </w:rPr>
        <w:t>causes</w:t>
      </w:r>
      <w:r w:rsidR="00657C9F">
        <w:rPr>
          <w:rFonts w:ascii="Garamond" w:eastAsia="Garamond" w:hAnsi="Garamond" w:cs="Garamond"/>
        </w:rPr>
        <w:t xml:space="preserve"> computers do something, ideally solving meaningful</w:t>
      </w:r>
      <w:r>
        <w:rPr>
          <w:rFonts w:ascii="Garamond" w:eastAsia="Garamond" w:hAnsi="Garamond" w:cs="Garamond"/>
        </w:rPr>
        <w:t xml:space="preserve"> problems in </w:t>
      </w:r>
      <w:r w:rsidR="00657C9F">
        <w:rPr>
          <w:rFonts w:ascii="Garamond" w:eastAsia="Garamond" w:hAnsi="Garamond" w:cs="Garamond"/>
        </w:rPr>
        <w:t>a variety of</w:t>
      </w:r>
      <w:r>
        <w:rPr>
          <w:rFonts w:ascii="Garamond" w:eastAsia="Garamond" w:hAnsi="Garamond" w:cs="Garamond"/>
        </w:rPr>
        <w:t xml:space="preserve"> domains. Indeed, students wishing to learn</w:t>
      </w:r>
      <w:r w:rsidR="008B7B65">
        <w:rPr>
          <w:rFonts w:ascii="Garamond" w:eastAsia="Garamond" w:hAnsi="Garamond" w:cs="Garamond"/>
        </w:rPr>
        <w:t xml:space="preserve"> how</w:t>
      </w:r>
      <w:r>
        <w:rPr>
          <w:rFonts w:ascii="Garamond" w:eastAsia="Garamond" w:hAnsi="Garamond" w:cs="Garamond"/>
        </w:rPr>
        <w:t xml:space="preserve"> to </w:t>
      </w:r>
      <w:r w:rsidR="008B7B65">
        <w:rPr>
          <w:rFonts w:ascii="Garamond" w:eastAsia="Garamond" w:hAnsi="Garamond" w:cs="Garamond"/>
        </w:rPr>
        <w:t>create</w:t>
      </w:r>
      <w:r>
        <w:rPr>
          <w:rFonts w:ascii="Garamond" w:eastAsia="Garamond" w:hAnsi="Garamond" w:cs="Garamond"/>
        </w:rPr>
        <w:t xml:space="preserve"> software arrive at an undergraduate institution to find that their intellectual interest fits closest with computer science, </w:t>
      </w:r>
      <w:r w:rsidR="00FB54D8">
        <w:rPr>
          <w:rFonts w:ascii="Garamond" w:eastAsia="Garamond" w:hAnsi="Garamond" w:cs="Garamond"/>
        </w:rPr>
        <w:t xml:space="preserve">often </w:t>
      </w:r>
      <w:r>
        <w:rPr>
          <w:rFonts w:ascii="Garamond" w:eastAsia="Garamond" w:hAnsi="Garamond" w:cs="Garamond"/>
        </w:rPr>
        <w:t>the only major with “computer” in its title. But the academic discipline of computer science is not about writing software.</w:t>
      </w:r>
    </w:p>
    <w:p w14:paraId="7D3BDA2D" w14:textId="52EFE4C2" w:rsidR="003660BC" w:rsidRDefault="00180294">
      <w:pPr>
        <w:spacing w:after="120"/>
        <w:ind w:left="720"/>
        <w:rPr>
          <w:rFonts w:ascii="Garamond" w:eastAsia="Garamond" w:hAnsi="Garamond" w:cs="Garamond"/>
        </w:rPr>
      </w:pPr>
      <w:r>
        <w:rPr>
          <w:rFonts w:ascii="Garamond" w:eastAsia="Garamond" w:hAnsi="Garamond" w:cs="Garamond"/>
        </w:rPr>
        <w:t>Computer science</w:t>
      </w:r>
      <w:r w:rsidR="002A2BE2">
        <w:rPr>
          <w:rFonts w:ascii="Garamond" w:eastAsia="Garamond" w:hAnsi="Garamond" w:cs="Garamond"/>
        </w:rPr>
        <w:t xml:space="preserve"> (CS)</w:t>
      </w:r>
      <w:r w:rsidR="00E64BE8">
        <w:rPr>
          <w:rFonts w:ascii="Garamond" w:eastAsia="Garamond" w:hAnsi="Garamond" w:cs="Garamond"/>
        </w:rPr>
        <w:t xml:space="preserve"> is founded upon mathematics, and is a study of automating algorithms, expanding theories of computation, </w:t>
      </w:r>
      <w:r w:rsidR="003660BC">
        <w:rPr>
          <w:rFonts w:ascii="Garamond" w:eastAsia="Garamond" w:hAnsi="Garamond" w:cs="Garamond"/>
        </w:rPr>
        <w:t xml:space="preserve">and </w:t>
      </w:r>
      <w:r w:rsidR="00E64BE8">
        <w:rPr>
          <w:rFonts w:ascii="Garamond" w:eastAsia="Garamond" w:hAnsi="Garamond" w:cs="Garamond"/>
        </w:rPr>
        <w:t>designing</w:t>
      </w:r>
      <w:r w:rsidR="003660BC">
        <w:rPr>
          <w:rFonts w:ascii="Garamond" w:eastAsia="Garamond" w:hAnsi="Garamond" w:cs="Garamond"/>
        </w:rPr>
        <w:t xml:space="preserve"> computational systems that can execute algorithms at scale. A computer scientist is a specialist in the theory of computation and the design of computers. Computer engineering</w:t>
      </w:r>
      <w:r w:rsidR="002A2BE2">
        <w:rPr>
          <w:rFonts w:ascii="Garamond" w:eastAsia="Garamond" w:hAnsi="Garamond" w:cs="Garamond"/>
        </w:rPr>
        <w:t xml:space="preserve"> (CE)</w:t>
      </w:r>
      <w:r w:rsidR="003660BC">
        <w:rPr>
          <w:rFonts w:ascii="Garamond" w:eastAsia="Garamond" w:hAnsi="Garamond" w:cs="Garamond"/>
        </w:rPr>
        <w:t>, also offered at many institutions, is an integration of electrical en</w:t>
      </w:r>
      <w:r w:rsidR="008178B0">
        <w:rPr>
          <w:rFonts w:ascii="Garamond" w:eastAsia="Garamond" w:hAnsi="Garamond" w:cs="Garamond"/>
        </w:rPr>
        <w:t>gineering and computer science, with a focus on designing computer hardware, such as circuit design and systems integration. Management information systems</w:t>
      </w:r>
      <w:r w:rsidR="002A2BE2">
        <w:rPr>
          <w:rFonts w:ascii="Garamond" w:eastAsia="Garamond" w:hAnsi="Garamond" w:cs="Garamond"/>
        </w:rPr>
        <w:t xml:space="preserve"> (MIS)</w:t>
      </w:r>
      <w:r w:rsidR="008178B0">
        <w:rPr>
          <w:rFonts w:ascii="Garamond" w:eastAsia="Garamond" w:hAnsi="Garamond" w:cs="Garamond"/>
        </w:rPr>
        <w:t xml:space="preserve">, </w:t>
      </w:r>
      <w:r w:rsidR="002A2BE2">
        <w:rPr>
          <w:rFonts w:ascii="Garamond" w:eastAsia="Garamond" w:hAnsi="Garamond" w:cs="Garamond"/>
        </w:rPr>
        <w:t>often offered by business schools, is the study of people, technology, teamwork, leadership, project management, customer service, organizations, and business theories. MIS professionals design and implement information systems to meet the needs of an organization.</w:t>
      </w:r>
      <w:r w:rsidR="00CB51C5">
        <w:rPr>
          <w:rFonts w:ascii="Garamond" w:eastAsia="Garamond" w:hAnsi="Garamond" w:cs="Garamond"/>
        </w:rPr>
        <w:t xml:space="preserve"> The world needs computer scientists, computer engineers, and MIS professionals. But more than ever, the world needs people who can build</w:t>
      </w:r>
      <w:r w:rsidR="006F3AE0">
        <w:rPr>
          <w:rFonts w:ascii="Garamond" w:eastAsia="Garamond" w:hAnsi="Garamond" w:cs="Garamond"/>
        </w:rPr>
        <w:t xml:space="preserve">, with code, </w:t>
      </w:r>
      <w:r w:rsidR="00CB51C5">
        <w:rPr>
          <w:rFonts w:ascii="Garamond" w:eastAsia="Garamond" w:hAnsi="Garamond" w:cs="Garamond"/>
        </w:rPr>
        <w:t>software solutions</w:t>
      </w:r>
      <w:r w:rsidR="006F3AE0">
        <w:rPr>
          <w:rFonts w:ascii="Garamond" w:eastAsia="Garamond" w:hAnsi="Garamond" w:cs="Garamond"/>
        </w:rPr>
        <w:t xml:space="preserve"> to important problems across numerous domains.</w:t>
      </w:r>
    </w:p>
    <w:p w14:paraId="349CD5A5" w14:textId="7CDA54D8" w:rsidR="003660BC" w:rsidRDefault="003660BC">
      <w:pPr>
        <w:spacing w:after="120"/>
        <w:ind w:left="720"/>
        <w:rPr>
          <w:rFonts w:ascii="Garamond" w:eastAsia="Garamond" w:hAnsi="Garamond" w:cs="Garamond"/>
        </w:rPr>
      </w:pPr>
      <w:r>
        <w:rPr>
          <w:rFonts w:ascii="Garamond" w:eastAsia="Garamond" w:hAnsi="Garamond" w:cs="Garamond"/>
        </w:rPr>
        <w:t>Software engineering</w:t>
      </w:r>
      <w:r w:rsidR="008B641D">
        <w:rPr>
          <w:rFonts w:ascii="Garamond" w:eastAsia="Garamond" w:hAnsi="Garamond" w:cs="Garamond"/>
        </w:rPr>
        <w:t xml:space="preserve"> is the </w:t>
      </w:r>
      <w:r w:rsidR="00E3466A">
        <w:rPr>
          <w:rFonts w:ascii="Garamond" w:eastAsia="Garamond" w:hAnsi="Garamond" w:cs="Garamond"/>
        </w:rPr>
        <w:t xml:space="preserve">development (coding/programming), operation and maintenance of software, and the study of technical knowledge, methods, and experience to the design, testing and documentation of software (IEEE, 2010). It is an engineering discipline concerned with all aspects of software production. The classic definition, from the birth of software engineering in 1972, is “the establishment and use of sound engineering principles </w:t>
      </w:r>
      <w:r w:rsidR="00E3466A">
        <w:rPr>
          <w:rFonts w:ascii="Garamond" w:eastAsia="Garamond" w:hAnsi="Garamond" w:cs="Garamond"/>
        </w:rPr>
        <w:lastRenderedPageBreak/>
        <w:t>in order to economically obtain software that is reliable and works efficiently on real machines.” (Bauer, 1972).</w:t>
      </w:r>
      <w:r w:rsidR="00705DE3">
        <w:rPr>
          <w:rFonts w:ascii="Garamond" w:eastAsia="Garamond" w:hAnsi="Garamond" w:cs="Garamond"/>
        </w:rPr>
        <w:t xml:space="preserve"> For the sake of this proposal, we define software engineering simply as the multi-disciplinary study and practice of the technologies, principles, and methodologies in designing, testing, building and maintaining software.</w:t>
      </w:r>
      <w:r>
        <w:rPr>
          <w:rFonts w:ascii="Garamond" w:eastAsia="Garamond" w:hAnsi="Garamond" w:cs="Garamond"/>
        </w:rPr>
        <w:t xml:space="preserve"> There is demand for </w:t>
      </w:r>
      <w:r w:rsidR="00705DE3">
        <w:rPr>
          <w:rFonts w:ascii="Garamond" w:eastAsia="Garamond" w:hAnsi="Garamond" w:cs="Garamond"/>
        </w:rPr>
        <w:t xml:space="preserve">knowledgeable </w:t>
      </w:r>
      <w:r>
        <w:rPr>
          <w:rFonts w:ascii="Garamond" w:eastAsia="Garamond" w:hAnsi="Garamond" w:cs="Garamond"/>
        </w:rPr>
        <w:t>software engineers</w:t>
      </w:r>
      <w:r w:rsidR="004A4E92">
        <w:rPr>
          <w:rFonts w:ascii="Garamond" w:eastAsia="Garamond" w:hAnsi="Garamond" w:cs="Garamond"/>
        </w:rPr>
        <w:t xml:space="preserve"> in both industry and research</w:t>
      </w:r>
      <w:r w:rsidR="00705DE3">
        <w:rPr>
          <w:rFonts w:ascii="Garamond" w:eastAsia="Garamond" w:hAnsi="Garamond" w:cs="Garamond"/>
        </w:rPr>
        <w:t xml:space="preserve"> (XXX CITE)</w:t>
      </w:r>
      <w:r>
        <w:rPr>
          <w:rFonts w:ascii="Garamond" w:eastAsia="Garamond" w:hAnsi="Garamond" w:cs="Garamond"/>
        </w:rPr>
        <w:t xml:space="preserve">, with meaningful problems </w:t>
      </w:r>
      <w:r w:rsidR="000A3588">
        <w:rPr>
          <w:rFonts w:ascii="Garamond" w:eastAsia="Garamond" w:hAnsi="Garamond" w:cs="Garamond"/>
        </w:rPr>
        <w:t>in</w:t>
      </w:r>
      <w:r>
        <w:rPr>
          <w:rFonts w:ascii="Garamond" w:eastAsia="Garamond" w:hAnsi="Garamond" w:cs="Garamond"/>
        </w:rPr>
        <w:t xml:space="preserve"> </w:t>
      </w:r>
      <w:r w:rsidR="000A3588">
        <w:rPr>
          <w:rFonts w:ascii="Garamond" w:eastAsia="Garamond" w:hAnsi="Garamond" w:cs="Garamond"/>
        </w:rPr>
        <w:t xml:space="preserve">numerous </w:t>
      </w:r>
      <w:r>
        <w:rPr>
          <w:rFonts w:ascii="Garamond" w:eastAsia="Garamond" w:hAnsi="Garamond" w:cs="Garamond"/>
        </w:rPr>
        <w:t>domains</w:t>
      </w:r>
      <w:r w:rsidR="000A3588">
        <w:rPr>
          <w:rFonts w:ascii="Garamond" w:eastAsia="Garamond" w:hAnsi="Garamond" w:cs="Garamond"/>
        </w:rPr>
        <w:t>. As an academic pursuit, software engineering has grown into a body of knowledge that stands on its own (XXX CITE). Y</w:t>
      </w:r>
      <w:r>
        <w:rPr>
          <w:rFonts w:ascii="Garamond" w:eastAsia="Garamond" w:hAnsi="Garamond" w:cs="Garamond"/>
        </w:rPr>
        <w:t xml:space="preserve">et what is higher education doing to educate </w:t>
      </w:r>
      <w:r w:rsidR="000A3588">
        <w:rPr>
          <w:rFonts w:ascii="Garamond" w:eastAsia="Garamond" w:hAnsi="Garamond" w:cs="Garamond"/>
        </w:rPr>
        <w:t>the next generation of software engineers?</w:t>
      </w:r>
      <w:r>
        <w:rPr>
          <w:rFonts w:ascii="Garamond" w:eastAsia="Garamond" w:hAnsi="Garamond" w:cs="Garamond"/>
        </w:rPr>
        <w:t xml:space="preserve"> The answer is, not much.</w:t>
      </w:r>
    </w:p>
    <w:p w14:paraId="65FBEE11" w14:textId="7AC6FE6B" w:rsidR="00332A48" w:rsidRDefault="000A3588">
      <w:pPr>
        <w:spacing w:after="120"/>
        <w:ind w:left="720"/>
        <w:rPr>
          <w:rFonts w:ascii="Garamond" w:eastAsia="Garamond" w:hAnsi="Garamond" w:cs="Garamond"/>
        </w:rPr>
      </w:pPr>
      <w:r>
        <w:rPr>
          <w:rFonts w:ascii="Garamond" w:eastAsia="Garamond" w:hAnsi="Garamond" w:cs="Garamond"/>
        </w:rPr>
        <w:t>Over the past decade, t</w:t>
      </w:r>
      <w:r w:rsidR="003660BC">
        <w:rPr>
          <w:rFonts w:ascii="Garamond" w:eastAsia="Garamond" w:hAnsi="Garamond" w:cs="Garamond"/>
        </w:rPr>
        <w:t>he market has responded</w:t>
      </w:r>
      <w:r>
        <w:rPr>
          <w:rFonts w:ascii="Garamond" w:eastAsia="Garamond" w:hAnsi="Garamond" w:cs="Garamond"/>
        </w:rPr>
        <w:t xml:space="preserve"> to the lack of available software engineering education with “code schools” and “boot camps.”</w:t>
      </w:r>
      <w:r w:rsidR="003660BC">
        <w:rPr>
          <w:rFonts w:ascii="Garamond" w:eastAsia="Garamond" w:hAnsi="Garamond" w:cs="Garamond"/>
        </w:rPr>
        <w:t xml:space="preserve"> </w:t>
      </w:r>
      <w:r w:rsidR="008F0F26">
        <w:rPr>
          <w:rFonts w:ascii="Garamond" w:eastAsia="Garamond" w:hAnsi="Garamond" w:cs="Garamond"/>
        </w:rPr>
        <w:t xml:space="preserve">These programs offer skills-centered training on specific technology stacks (tools and programming languages) to prepare the student for an entry-level software developer position. </w:t>
      </w:r>
      <w:r w:rsidR="003610A6">
        <w:rPr>
          <w:rFonts w:ascii="Garamond" w:eastAsia="Garamond" w:hAnsi="Garamond" w:cs="Garamond"/>
        </w:rPr>
        <w:t>Despite their shortcomings, such programs have been immensely successful, changing students’ lives, catalyzing economic growth and educating students about the fundamentals of real-world computer programming.</w:t>
      </w:r>
    </w:p>
    <w:p w14:paraId="1FBA50B0" w14:textId="194A5F75" w:rsidR="00332A48" w:rsidRDefault="003610A6" w:rsidP="007514AA">
      <w:pPr>
        <w:spacing w:after="120"/>
        <w:ind w:left="720"/>
        <w:rPr>
          <w:rFonts w:ascii="Garamond" w:eastAsia="Garamond" w:hAnsi="Garamond" w:cs="Garamond"/>
        </w:rPr>
      </w:pPr>
      <w:r>
        <w:rPr>
          <w:rFonts w:ascii="Garamond" w:eastAsia="Garamond" w:hAnsi="Garamond" w:cs="Garamond"/>
        </w:rPr>
        <w:t>The problem with code schools is that they cannot cheat</w:t>
      </w:r>
      <w:r w:rsidR="003660BC">
        <w:rPr>
          <w:rFonts w:ascii="Garamond" w:eastAsia="Garamond" w:hAnsi="Garamond" w:cs="Garamond"/>
        </w:rPr>
        <w:t xml:space="preserve"> time. </w:t>
      </w:r>
      <w:r>
        <w:rPr>
          <w:rFonts w:ascii="Garamond" w:eastAsia="Garamond" w:hAnsi="Garamond" w:cs="Garamond"/>
        </w:rPr>
        <w:t>Some of the shortcomings of code school graduates include 1) only having surface knowledge of popular tools and technologies, 2) a lack of strong verbal and written communication</w:t>
      </w:r>
      <w:r w:rsidR="003660BC">
        <w:rPr>
          <w:rFonts w:ascii="Garamond" w:eastAsia="Garamond" w:hAnsi="Garamond" w:cs="Garamond"/>
        </w:rPr>
        <w:t xml:space="preserve"> skills</w:t>
      </w:r>
      <w:r>
        <w:rPr>
          <w:rFonts w:ascii="Garamond" w:eastAsia="Garamond" w:hAnsi="Garamond" w:cs="Garamond"/>
        </w:rPr>
        <w:t xml:space="preserve">, 3) a lack of strong </w:t>
      </w:r>
      <w:r w:rsidR="003660BC">
        <w:rPr>
          <w:rFonts w:ascii="Garamond" w:eastAsia="Garamond" w:hAnsi="Garamond" w:cs="Garamond"/>
        </w:rPr>
        <w:t>critical thinking</w:t>
      </w:r>
      <w:r>
        <w:rPr>
          <w:rFonts w:ascii="Garamond" w:eastAsia="Garamond" w:hAnsi="Garamond" w:cs="Garamond"/>
        </w:rPr>
        <w:t xml:space="preserve"> skills, 4) being trained for a job, rather than having dedication to lifelong </w:t>
      </w:r>
      <w:r w:rsidR="003660BC">
        <w:rPr>
          <w:rFonts w:ascii="Garamond" w:eastAsia="Garamond" w:hAnsi="Garamond" w:cs="Garamond"/>
        </w:rPr>
        <w:t>learning</w:t>
      </w:r>
      <w:r w:rsidR="007514AA">
        <w:rPr>
          <w:rFonts w:ascii="Garamond" w:eastAsia="Garamond" w:hAnsi="Garamond" w:cs="Garamond"/>
        </w:rPr>
        <w:t xml:space="preserve"> (Economist, 2017)</w:t>
      </w:r>
      <w:r>
        <w:rPr>
          <w:rFonts w:ascii="Garamond" w:eastAsia="Garamond" w:hAnsi="Garamond" w:cs="Garamond"/>
        </w:rPr>
        <w:t xml:space="preserve">, and 5) a lack of understanding of computer science fundamentals. This academic program proposal </w:t>
      </w:r>
      <w:r w:rsidR="007514AA">
        <w:rPr>
          <w:rFonts w:ascii="Garamond" w:eastAsia="Garamond" w:hAnsi="Garamond" w:cs="Garamond"/>
        </w:rPr>
        <w:t>avoids these shortcomings with</w:t>
      </w:r>
      <w:r>
        <w:rPr>
          <w:rFonts w:ascii="Garamond" w:eastAsia="Garamond" w:hAnsi="Garamond" w:cs="Garamond"/>
        </w:rPr>
        <w:t xml:space="preserve"> a four-year program in software engineering that synthesizes a liberal arts education</w:t>
      </w:r>
      <w:r w:rsidR="002C3C40">
        <w:rPr>
          <w:rFonts w:ascii="Garamond" w:eastAsia="Garamond" w:hAnsi="Garamond" w:cs="Garamond"/>
        </w:rPr>
        <w:t xml:space="preserve"> with the principles of software engineering and the fundamentals of computer science.</w:t>
      </w:r>
    </w:p>
    <w:p w14:paraId="6B51CF09" w14:textId="77777777" w:rsidR="00B059A6" w:rsidRDefault="00B059A6" w:rsidP="007514AA">
      <w:pPr>
        <w:spacing w:after="120"/>
        <w:ind w:left="720"/>
        <w:rPr>
          <w:rFonts w:ascii="Garamond" w:eastAsia="Garamond" w:hAnsi="Garamond" w:cs="Garamond"/>
        </w:rPr>
      </w:pPr>
    </w:p>
    <w:p w14:paraId="553CC439" w14:textId="2A703D51" w:rsidR="007514AA" w:rsidRPr="007514AA" w:rsidRDefault="00180294" w:rsidP="007514AA">
      <w:pPr>
        <w:numPr>
          <w:ilvl w:val="0"/>
          <w:numId w:val="8"/>
        </w:numPr>
        <w:spacing w:after="120"/>
        <w:rPr>
          <w:rFonts w:ascii="Garamond" w:eastAsia="Garamond" w:hAnsi="Garamond" w:cs="Garamond"/>
        </w:rPr>
      </w:pPr>
      <w:r>
        <w:rPr>
          <w:rFonts w:ascii="Garamond" w:eastAsia="Garamond" w:hAnsi="Garamond" w:cs="Garamond"/>
        </w:rPr>
        <w:t>Course of study – proposed curriculum, including course numbers, titles, and credit hours.</w:t>
      </w:r>
    </w:p>
    <w:p w14:paraId="4D58A9D8" w14:textId="77777777" w:rsidR="007514AA" w:rsidRDefault="007514AA" w:rsidP="007514AA">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over, but not at the exclusion of, computer science principles. The curriculum includes high-impact, team- and project-based courses early in the curriculum, followed by computer science courses that explore the most important theoretical topics in computer science.</w:t>
      </w:r>
    </w:p>
    <w:p w14:paraId="5D788F5F" w14:textId="77777777" w:rsidR="007514AA" w:rsidRDefault="007514AA" w:rsidP="007514AA">
      <w:pPr>
        <w:spacing w:after="120"/>
        <w:ind w:left="720"/>
        <w:rPr>
          <w:rFonts w:ascii="Garamond" w:eastAsia="Garamond" w:hAnsi="Garamond" w:cs="Garamond"/>
        </w:rPr>
      </w:pPr>
      <w:r>
        <w:rPr>
          <w:rFonts w:ascii="Garamond" w:eastAsia="Garamond" w:hAnsi="Garamond" w:cs="Garamond"/>
        </w:rPr>
        <w:t>During year one, students engage in a team-based, real-world project in which they create a “full stack” application covering the significant topics in software engineering principles and industrial practice. While learning outcomes are not at the mastery level, students repeat this project-based experience going both deeper into all topics as well as focusing on the second year theme of “data”: database management, statistics, data science, data mining, and data visualization.</w:t>
      </w:r>
    </w:p>
    <w:p w14:paraId="7521096C" w14:textId="77777777" w:rsidR="007514AA" w:rsidRDefault="007514AA" w:rsidP="007514AA">
      <w:pPr>
        <w:spacing w:after="120"/>
        <w:ind w:left="720"/>
        <w:rPr>
          <w:rFonts w:ascii="Garamond" w:eastAsia="Garamond" w:hAnsi="Garamond" w:cs="Garamond"/>
        </w:rPr>
      </w:pPr>
      <w:r>
        <w:rPr>
          <w:rFonts w:ascii="Garamond" w:eastAsia="Garamond" w:hAnsi="Garamond" w:cs="Garamond"/>
        </w:rPr>
        <w:t>Year three emphasizes the themes of scalability, security and operations and enables students to continue to move toward mastering the software engineering process. In addition, year three marks a transition: the experience of computer programming and software engineering serves as a foundation for exploring deeper computer science topics. Year four emphasizes entrepreneurship and the business of software, complemented by additional computer science courses.</w:t>
      </w:r>
    </w:p>
    <w:p w14:paraId="25627614" w14:textId="0F73733E" w:rsidR="007514AA" w:rsidRDefault="007514AA" w:rsidP="007514AA">
      <w:pPr>
        <w:spacing w:after="120"/>
        <w:ind w:left="720"/>
        <w:rPr>
          <w:rFonts w:ascii="Garamond" w:eastAsia="Garamond" w:hAnsi="Garamond" w:cs="Garamond"/>
        </w:rPr>
      </w:pPr>
      <w:r>
        <w:rPr>
          <w:rFonts w:ascii="Garamond" w:eastAsia="Garamond" w:hAnsi="Garamond" w:cs="Garamond"/>
        </w:rPr>
        <w:lastRenderedPageBreak/>
        <w:t>Lastly, the software engineering program incorporates even more experiential learning and professional practice throughout all four years of the program. The program expects that each student be engaged in a professional apprenticeship, throughout their academic career.</w:t>
      </w:r>
    </w:p>
    <w:p w14:paraId="582FEF69" w14:textId="77777777" w:rsidR="007514AA" w:rsidRDefault="007514AA" w:rsidP="007514AA">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which are also followed by the CAT II proposal numbers (</w:t>
      </w:r>
      <w:r>
        <w:rPr>
          <w:rFonts w:ascii="Garamond" w:eastAsia="Garamond" w:hAnsi="Garamond" w:cs="Garamond"/>
          <w:color w:val="FF0000"/>
        </w:rPr>
        <w:t>99XXX</w:t>
      </w:r>
      <w:r>
        <w:rPr>
          <w:rFonts w:ascii="Garamond" w:eastAsia="Garamond" w:hAnsi="Garamond" w:cs="Garamond"/>
        </w:rPr>
        <w:t>).</w:t>
      </w:r>
    </w:p>
    <w:p w14:paraId="54080F55" w14:textId="64D730F0" w:rsidR="00A02C4D" w:rsidRDefault="00A02C4D" w:rsidP="009D2656">
      <w:pPr>
        <w:widowControl/>
        <w:spacing w:after="120"/>
        <w:ind w:left="-180" w:right="-540"/>
        <w:jc w:val="center"/>
        <w:rPr>
          <w:rFonts w:ascii="Garamond" w:eastAsia="Garamond" w:hAnsi="Garamond" w:cs="Garamond"/>
        </w:rPr>
      </w:pPr>
      <w:r>
        <w:rPr>
          <w:rFonts w:ascii="Calibri" w:eastAsia="Calibri" w:hAnsi="Calibri" w:cs="Calibri"/>
          <w:b/>
          <w:sz w:val="20"/>
          <w:szCs w:val="20"/>
        </w:rPr>
        <w:t xml:space="preserve">*Freshman Skill Courses (16 credits)       #BACC Core (48 cr)       </w:t>
      </w:r>
      <w:r>
        <w:rPr>
          <w:rFonts w:ascii="Calibri" w:eastAsia="Calibri" w:hAnsi="Calibri" w:cs="Calibri"/>
          <w:b/>
          <w:color w:val="FF0000"/>
          <w:sz w:val="20"/>
          <w:szCs w:val="20"/>
        </w:rPr>
        <w:t>99XXX</w:t>
      </w:r>
      <w:r>
        <w:rPr>
          <w:rFonts w:ascii="Calibri" w:eastAsia="Calibri" w:hAnsi="Calibri" w:cs="Calibri"/>
          <w:b/>
          <w:sz w:val="20"/>
          <w:szCs w:val="20"/>
        </w:rPr>
        <w:t>- CAT II course proposal</w:t>
      </w:r>
    </w:p>
    <w:tbl>
      <w:tblPr>
        <w:tblW w:w="945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CB09C6" w14:paraId="00DEB69B" w14:textId="77777777" w:rsidTr="00CB09C6">
        <w:tc>
          <w:tcPr>
            <w:tcW w:w="9450" w:type="dxa"/>
            <w:shd w:val="clear" w:color="auto" w:fill="E7E6E6" w:themeFill="background2"/>
          </w:tcPr>
          <w:p w14:paraId="1A607113" w14:textId="10CB5823" w:rsidR="00CB09C6" w:rsidRDefault="00CB09C6" w:rsidP="003319EB">
            <w:pPr>
              <w:widowControl/>
              <w:spacing w:after="120"/>
              <w:rPr>
                <w:rFonts w:ascii="Calibri" w:eastAsia="Calibri" w:hAnsi="Calibri" w:cs="Calibri"/>
              </w:rPr>
            </w:pPr>
            <w:r>
              <w:rPr>
                <w:rFonts w:ascii="Calibri" w:eastAsia="Calibri" w:hAnsi="Calibri" w:cs="Calibri"/>
              </w:rPr>
              <w:t>First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46 cr</w:t>
            </w:r>
          </w:p>
        </w:tc>
      </w:tr>
      <w:tr w:rsidR="00CB09C6" w14:paraId="5D6CA281" w14:textId="77777777" w:rsidTr="00CB09C6">
        <w:tc>
          <w:tcPr>
            <w:tcW w:w="9450" w:type="dxa"/>
          </w:tcPr>
          <w:p w14:paraId="67CB18F1" w14:textId="424214F9" w:rsidR="007514AA" w:rsidRDefault="007514AA" w:rsidP="003319EB">
            <w:pPr>
              <w:widowControl/>
              <w:spacing w:after="120"/>
              <w:rPr>
                <w:rFonts w:ascii="Calibri" w:eastAsia="Calibri" w:hAnsi="Calibri" w:cs="Calibri"/>
              </w:rPr>
            </w:pPr>
            <w:r w:rsidRPr="00026554">
              <w:rPr>
                <w:rFonts w:ascii="Calibri" w:eastAsia="Calibri" w:hAnsi="Calibri" w:cs="Calibri"/>
              </w:rPr>
              <w:t>Fall</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Pr="00026554">
              <w:rPr>
                <w:rFonts w:ascii="Calibri" w:eastAsia="Calibri" w:hAnsi="Calibri" w:cs="Calibri"/>
                <w:b/>
                <w:sz w:val="20"/>
                <w:szCs w:val="20"/>
              </w:rPr>
              <w:t>15</w:t>
            </w:r>
            <w:r w:rsidR="00CB09C6">
              <w:rPr>
                <w:rFonts w:ascii="Calibri" w:eastAsia="Calibri" w:hAnsi="Calibri" w:cs="Calibri"/>
                <w:b/>
                <w:sz w:val="20"/>
                <w:szCs w:val="20"/>
              </w:rPr>
              <w:t xml:space="preserve"> </w:t>
            </w:r>
            <w:r>
              <w:rPr>
                <w:rFonts w:ascii="Calibri" w:eastAsia="Calibri" w:hAnsi="Calibri" w:cs="Calibri"/>
                <w:b/>
                <w:sz w:val="20"/>
                <w:szCs w:val="20"/>
              </w:rPr>
              <w:t>cr</w:t>
            </w:r>
          </w:p>
          <w:p w14:paraId="7588C052"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1A4703C6"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316891AE"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107: Professional Seminar (1) </w:t>
            </w:r>
            <w:r>
              <w:rPr>
                <w:rFonts w:ascii="Calibri" w:eastAsia="Calibri" w:hAnsi="Calibri" w:cs="Calibri"/>
                <w:color w:val="C45911"/>
                <w:sz w:val="16"/>
                <w:szCs w:val="16"/>
              </w:rPr>
              <w:t>(99XXX)</w:t>
            </w:r>
          </w:p>
          <w:p w14:paraId="13A99662"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 xml:space="preserve">WR 121#*: English Composition (3)  </w:t>
            </w:r>
            <w:r>
              <w:rPr>
                <w:rFonts w:ascii="Calibri" w:eastAsia="Calibri" w:hAnsi="Calibri" w:cs="Calibri"/>
                <w:sz w:val="20"/>
                <w:szCs w:val="20"/>
              </w:rPr>
              <w:tab/>
            </w:r>
          </w:p>
          <w:p w14:paraId="6BFADCBB"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11F2D571"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r>
      <w:tr w:rsidR="00CB09C6" w14:paraId="364F8584" w14:textId="77777777" w:rsidTr="00CB09C6">
        <w:tc>
          <w:tcPr>
            <w:tcW w:w="9450" w:type="dxa"/>
          </w:tcPr>
          <w:p w14:paraId="2BA321BB" w14:textId="42F7D4E4" w:rsidR="007514AA" w:rsidRDefault="007514AA" w:rsidP="003319EB">
            <w:pPr>
              <w:widowControl/>
              <w:spacing w:after="120"/>
              <w:rPr>
                <w:rFonts w:ascii="Calibri" w:eastAsia="Calibri" w:hAnsi="Calibri" w:cs="Calibri"/>
              </w:rPr>
            </w:pPr>
            <w:r>
              <w:rPr>
                <w:rFonts w:ascii="Calibri" w:eastAsia="Calibri" w:hAnsi="Calibri" w:cs="Calibri"/>
              </w:rPr>
              <w:t>Winter</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w:t>
            </w:r>
            <w:r w:rsidR="00B0337B">
              <w:rPr>
                <w:rFonts w:ascii="Calibri" w:eastAsia="Calibri" w:hAnsi="Calibri" w:cs="Calibri"/>
                <w:b/>
                <w:sz w:val="20"/>
                <w:szCs w:val="20"/>
              </w:rPr>
              <w:t>6</w:t>
            </w:r>
            <w:r>
              <w:rPr>
                <w:rFonts w:ascii="Calibri" w:eastAsia="Calibri" w:hAnsi="Calibri" w:cs="Calibri"/>
                <w:b/>
                <w:sz w:val="20"/>
                <w:szCs w:val="20"/>
              </w:rPr>
              <w:t xml:space="preserve"> cr</w:t>
            </w:r>
          </w:p>
          <w:p w14:paraId="2C51C7DF"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586D6DAF"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7915AAD6"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110: Apprenticeship I (1) </w:t>
            </w:r>
            <w:r>
              <w:rPr>
                <w:rFonts w:ascii="Calibri" w:eastAsia="Calibri" w:hAnsi="Calibri" w:cs="Calibri"/>
                <w:color w:val="C45911"/>
                <w:sz w:val="16"/>
                <w:szCs w:val="16"/>
              </w:rPr>
              <w:t>(99XXX)</w:t>
            </w:r>
          </w:p>
          <w:p w14:paraId="01EE633E"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MTH 112#: Elementary Functions (4)</w:t>
            </w:r>
          </w:p>
          <w:p w14:paraId="4F47D2E5" w14:textId="15293C60" w:rsidR="006129AD" w:rsidRDefault="006129AD" w:rsidP="003319EB">
            <w:pPr>
              <w:widowControl/>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(Bacc Core Synthesis: Science, Technology, Society)</w:t>
            </w:r>
          </w:p>
        </w:tc>
      </w:tr>
      <w:tr w:rsidR="00CB09C6" w14:paraId="3899838E" w14:textId="77777777" w:rsidTr="00CB09C6">
        <w:tc>
          <w:tcPr>
            <w:tcW w:w="9450" w:type="dxa"/>
          </w:tcPr>
          <w:p w14:paraId="23C1D9B1" w14:textId="3C406506" w:rsidR="007514AA" w:rsidRDefault="007514AA" w:rsidP="003319EB">
            <w:pPr>
              <w:widowControl/>
              <w:spacing w:after="120"/>
              <w:rPr>
                <w:rFonts w:ascii="Calibri" w:eastAsia="Calibri" w:hAnsi="Calibri" w:cs="Calibri"/>
              </w:rPr>
            </w:pPr>
            <w:r>
              <w:rPr>
                <w:rFonts w:ascii="Calibri" w:eastAsia="Calibri" w:hAnsi="Calibri" w:cs="Calibri"/>
              </w:rPr>
              <w:t>Spring</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15</w:t>
            </w:r>
            <w:r w:rsidR="00CB09C6">
              <w:rPr>
                <w:rFonts w:ascii="Calibri" w:eastAsia="Calibri" w:hAnsi="Calibri" w:cs="Calibri"/>
                <w:b/>
                <w:sz w:val="20"/>
                <w:szCs w:val="20"/>
              </w:rPr>
              <w:t xml:space="preserve"> </w:t>
            </w:r>
            <w:r>
              <w:rPr>
                <w:rFonts w:ascii="Calibri" w:eastAsia="Calibri" w:hAnsi="Calibri" w:cs="Calibri"/>
                <w:b/>
                <w:sz w:val="20"/>
                <w:szCs w:val="20"/>
              </w:rPr>
              <w:t>cr</w:t>
            </w:r>
          </w:p>
          <w:p w14:paraId="5EC932BE"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67AC7BE3"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5F199DA3"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SE 110: Apprenticeship I (1)</w:t>
            </w:r>
          </w:p>
          <w:p w14:paraId="74C15ED0"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COMM 111#*: Public Speaking (3)</w:t>
            </w:r>
          </w:p>
          <w:p w14:paraId="395F4148"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r>
      <w:tr w:rsidR="00CB09C6" w14:paraId="7B742F6C" w14:textId="77777777" w:rsidTr="00CB09C6">
        <w:tc>
          <w:tcPr>
            <w:tcW w:w="9450" w:type="dxa"/>
            <w:shd w:val="clear" w:color="auto" w:fill="E7E6E6" w:themeFill="background2"/>
          </w:tcPr>
          <w:p w14:paraId="7458C216" w14:textId="084EEC21" w:rsidR="007514AA" w:rsidRDefault="00CB09C6" w:rsidP="00026554">
            <w:pPr>
              <w:widowControl/>
              <w:spacing w:after="120"/>
              <w:rPr>
                <w:rFonts w:ascii="Calibri" w:eastAsia="Calibri" w:hAnsi="Calibri" w:cs="Calibri"/>
              </w:rPr>
            </w:pPr>
            <w:r>
              <w:rPr>
                <w:rFonts w:ascii="Calibri" w:eastAsia="Calibri" w:hAnsi="Calibri" w:cs="Calibri"/>
              </w:rPr>
              <w:t>Second</w:t>
            </w:r>
            <w:r w:rsidR="007514AA">
              <w:rPr>
                <w:rFonts w:ascii="Calibri" w:eastAsia="Calibri" w:hAnsi="Calibri" w:cs="Calibri"/>
              </w:rPr>
              <w:t xml:space="preserve">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45 cr</w:t>
            </w:r>
            <w:r w:rsidR="007514AA">
              <w:rPr>
                <w:rFonts w:ascii="Calibri" w:eastAsia="Calibri" w:hAnsi="Calibri" w:cs="Calibri"/>
              </w:rPr>
              <w:t xml:space="preserve"> </w:t>
            </w:r>
          </w:p>
        </w:tc>
      </w:tr>
      <w:tr w:rsidR="00CB09C6" w14:paraId="4DBF725F" w14:textId="77777777" w:rsidTr="00CB09C6">
        <w:tc>
          <w:tcPr>
            <w:tcW w:w="9450" w:type="dxa"/>
          </w:tcPr>
          <w:p w14:paraId="0BBBA4E1" w14:textId="48BE1CA9" w:rsidR="00CB09C6" w:rsidRDefault="00CB09C6" w:rsidP="00CB09C6">
            <w:pPr>
              <w:widowControl/>
              <w:spacing w:after="120"/>
              <w:rPr>
                <w:rFonts w:ascii="Calibri" w:eastAsia="Calibri" w:hAnsi="Calibri" w:cs="Calibri"/>
                <w:sz w:val="20"/>
                <w:szCs w:val="20"/>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15 cr</w:t>
            </w:r>
          </w:p>
          <w:p w14:paraId="38B0FF4A"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793E9285"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210: Apprenticeship II (1) </w:t>
            </w:r>
            <w:r>
              <w:rPr>
                <w:rFonts w:ascii="Calibri" w:eastAsia="Calibri" w:hAnsi="Calibri" w:cs="Calibri"/>
                <w:color w:val="C45911"/>
                <w:sz w:val="16"/>
                <w:szCs w:val="16"/>
              </w:rPr>
              <w:t>(99XXX)</w:t>
            </w:r>
          </w:p>
          <w:p w14:paraId="7087F3F2"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157DF3CA" w14:textId="2AA68007" w:rsidR="007514AA"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CB09C6" w14:paraId="1733DB70" w14:textId="77777777" w:rsidTr="00CB09C6">
        <w:tc>
          <w:tcPr>
            <w:tcW w:w="9450" w:type="dxa"/>
          </w:tcPr>
          <w:p w14:paraId="0941B767" w14:textId="5E7FDDC5" w:rsidR="00CB09C6" w:rsidRDefault="00CB09C6" w:rsidP="00CB09C6">
            <w:pPr>
              <w:widowControl/>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Pr>
                <w:rFonts w:ascii="Calibri" w:eastAsia="Calibri" w:hAnsi="Calibri" w:cs="Calibri"/>
                <w:b/>
                <w:sz w:val="20"/>
                <w:szCs w:val="20"/>
              </w:rPr>
              <w:t>15 cr</w:t>
            </w:r>
          </w:p>
          <w:p w14:paraId="3925A29D"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73DC43B6"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lastRenderedPageBreak/>
              <w:t>SE 210: Apprenticeship II (1)</w:t>
            </w:r>
          </w:p>
          <w:p w14:paraId="641EA5C9"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023E0C73" w14:textId="06CAF5DA" w:rsidR="007514AA"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BACC Core#: Physical Science with Lab (4)</w:t>
            </w:r>
          </w:p>
        </w:tc>
      </w:tr>
      <w:tr w:rsidR="00CB09C6" w14:paraId="7EF2BC0F" w14:textId="77777777" w:rsidTr="00CB09C6">
        <w:tc>
          <w:tcPr>
            <w:tcW w:w="9450" w:type="dxa"/>
          </w:tcPr>
          <w:p w14:paraId="5AB8F5C7" w14:textId="58ED6F03" w:rsidR="00CB09C6" w:rsidRDefault="00CB09C6" w:rsidP="00CB09C6">
            <w:pPr>
              <w:widowControl/>
              <w:spacing w:after="120"/>
              <w:rPr>
                <w:rFonts w:ascii="Calibri" w:eastAsia="Calibri" w:hAnsi="Calibri" w:cs="Calibri"/>
              </w:rPr>
            </w:pPr>
            <w:r>
              <w:rPr>
                <w:rFonts w:ascii="Calibri" w:eastAsia="Calibri" w:hAnsi="Calibri" w:cs="Calibri"/>
              </w:rPr>
              <w:lastRenderedPageBreak/>
              <w:t xml:space="preserve">Spring                                                                     </w:t>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15 cr</w:t>
            </w:r>
          </w:p>
          <w:p w14:paraId="04B9CB08"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66AEAF6C"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210: Apprenticeship II (1)</w:t>
            </w:r>
          </w:p>
          <w:p w14:paraId="568CA0F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1648CB1D" w14:textId="6A8301AF" w:rsidR="00CB09C6" w:rsidRP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tc>
      </w:tr>
      <w:tr w:rsidR="00CB09C6" w14:paraId="0A541A37" w14:textId="77777777" w:rsidTr="00CB09C6">
        <w:tc>
          <w:tcPr>
            <w:tcW w:w="9450" w:type="dxa"/>
            <w:shd w:val="clear" w:color="auto" w:fill="E7E6E6" w:themeFill="background2"/>
          </w:tcPr>
          <w:p w14:paraId="10A0F7EE" w14:textId="6E5ADBC4" w:rsidR="00CB09C6" w:rsidRDefault="00CB09C6" w:rsidP="00026554">
            <w:pPr>
              <w:widowControl/>
              <w:spacing w:after="120"/>
              <w:rPr>
                <w:rFonts w:ascii="Calibri" w:eastAsia="Calibri" w:hAnsi="Calibri" w:cs="Calibri"/>
              </w:rPr>
            </w:pPr>
            <w:r>
              <w:rPr>
                <w:rFonts w:ascii="Calibri" w:eastAsia="Calibri" w:hAnsi="Calibri" w:cs="Calibri"/>
              </w:rPr>
              <w:t>Third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48 – 51 cr</w:t>
            </w:r>
            <w:r>
              <w:rPr>
                <w:rFonts w:ascii="Calibri" w:eastAsia="Calibri" w:hAnsi="Calibri" w:cs="Calibri"/>
              </w:rPr>
              <w:t xml:space="preserve"> </w:t>
            </w:r>
          </w:p>
        </w:tc>
      </w:tr>
      <w:tr w:rsidR="00CB09C6" w14:paraId="2CFDE09C" w14:textId="77777777" w:rsidTr="00CB09C6">
        <w:tc>
          <w:tcPr>
            <w:tcW w:w="9450" w:type="dxa"/>
          </w:tcPr>
          <w:p w14:paraId="229E99FD" w14:textId="1CBE808C" w:rsidR="00CB09C6" w:rsidRDefault="00CB09C6" w:rsidP="003319EB">
            <w:pPr>
              <w:widowControl/>
              <w:spacing w:after="120"/>
              <w:rPr>
                <w:rFonts w:ascii="Calibri" w:eastAsia="Calibri" w:hAnsi="Calibri" w:cs="Calibri"/>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16</w:t>
            </w:r>
            <w:r w:rsidR="004708E8">
              <w:rPr>
                <w:rFonts w:ascii="Calibri" w:eastAsia="Calibri" w:hAnsi="Calibri" w:cs="Calibri"/>
                <w:b/>
                <w:sz w:val="20"/>
                <w:szCs w:val="20"/>
              </w:rPr>
              <w:t xml:space="preserve"> - 17</w:t>
            </w:r>
            <w:r>
              <w:rPr>
                <w:rFonts w:ascii="Calibri" w:eastAsia="Calibri" w:hAnsi="Calibri" w:cs="Calibri"/>
                <w:b/>
                <w:color w:val="FF0000"/>
                <w:sz w:val="20"/>
                <w:szCs w:val="20"/>
              </w:rPr>
              <w:t xml:space="preserve"> </w:t>
            </w:r>
            <w:r>
              <w:rPr>
                <w:rFonts w:ascii="Calibri" w:eastAsia="Calibri" w:hAnsi="Calibri" w:cs="Calibri"/>
                <w:b/>
                <w:sz w:val="20"/>
                <w:szCs w:val="20"/>
              </w:rPr>
              <w:t>cr</w:t>
            </w:r>
          </w:p>
          <w:p w14:paraId="3986462B"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6F3EAF7E"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311: Scalability, Infrastructure and Security I (6) </w:t>
            </w:r>
            <w:r>
              <w:rPr>
                <w:rFonts w:ascii="Calibri" w:eastAsia="Calibri" w:hAnsi="Calibri" w:cs="Calibri"/>
                <w:color w:val="C45911"/>
                <w:sz w:val="16"/>
                <w:szCs w:val="16"/>
              </w:rPr>
              <w:t>(99XXX)</w:t>
            </w:r>
          </w:p>
          <w:p w14:paraId="52DF66BD"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310: Apprenticeship III (1) </w:t>
            </w:r>
            <w:r>
              <w:rPr>
                <w:rFonts w:ascii="Calibri" w:eastAsia="Calibri" w:hAnsi="Calibri" w:cs="Calibri"/>
                <w:color w:val="C45911"/>
                <w:sz w:val="16"/>
                <w:szCs w:val="16"/>
              </w:rPr>
              <w:t>(99XXX)</w:t>
            </w:r>
          </w:p>
          <w:p w14:paraId="5F754523"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CS 261: Data Structures (4)</w:t>
            </w:r>
          </w:p>
          <w:p w14:paraId="135E8AC2" w14:textId="4AF4CA05" w:rsidR="00CB09C6" w:rsidRDefault="00CB09C6" w:rsidP="003319EB">
            <w:pPr>
              <w:widowControl/>
              <w:spacing w:after="120"/>
              <w:rPr>
                <w:rFonts w:ascii="Calibri" w:eastAsia="Calibri" w:hAnsi="Calibri" w:cs="Calibri"/>
              </w:rPr>
            </w:pPr>
            <w:r>
              <w:rPr>
                <w:rFonts w:ascii="Calibri" w:eastAsia="Calibri" w:hAnsi="Calibri" w:cs="Calibri"/>
                <w:sz w:val="20"/>
                <w:szCs w:val="20"/>
              </w:rPr>
              <w:t>BACC Core#: Western Culture or American History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76CA0798" w14:textId="77777777" w:rsidTr="00CB09C6">
        <w:tc>
          <w:tcPr>
            <w:tcW w:w="9450" w:type="dxa"/>
          </w:tcPr>
          <w:p w14:paraId="3F923A38" w14:textId="6DF05903" w:rsidR="00CB09C6" w:rsidRDefault="00CB09C6" w:rsidP="003319EB">
            <w:pPr>
              <w:widowControl/>
              <w:spacing w:after="120"/>
              <w:rPr>
                <w:rFonts w:ascii="Calibri" w:eastAsia="Calibri" w:hAnsi="Calibri" w:cs="Calibri"/>
                <w:sz w:val="20"/>
                <w:szCs w:val="20"/>
              </w:rPr>
            </w:pPr>
            <w:r>
              <w:rPr>
                <w:rFonts w:ascii="Calibri" w:eastAsia="Calibri" w:hAnsi="Calibri" w:cs="Calibri"/>
              </w:rPr>
              <w:t>Winter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16</w:t>
            </w:r>
            <w:r w:rsidR="004708E8">
              <w:rPr>
                <w:rFonts w:ascii="Calibri" w:eastAsia="Calibri" w:hAnsi="Calibri" w:cs="Calibri"/>
                <w:b/>
                <w:sz w:val="20"/>
                <w:szCs w:val="20"/>
              </w:rPr>
              <w:t xml:space="preserve"> - 17</w:t>
            </w:r>
            <w:r>
              <w:rPr>
                <w:rFonts w:ascii="Calibri" w:eastAsia="Calibri" w:hAnsi="Calibri" w:cs="Calibri"/>
                <w:b/>
                <w:sz w:val="20"/>
                <w:szCs w:val="20"/>
              </w:rPr>
              <w:t xml:space="preserve"> cr</w:t>
            </w:r>
          </w:p>
          <w:p w14:paraId="67D054AD"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3E4D64FD"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 xml:space="preserve">SE 312: Scalability, Infrastructure and Security II (6) </w:t>
            </w:r>
            <w:r>
              <w:rPr>
                <w:rFonts w:ascii="Calibri" w:eastAsia="Calibri" w:hAnsi="Calibri" w:cs="Calibri"/>
                <w:color w:val="C45911"/>
                <w:sz w:val="16"/>
                <w:szCs w:val="16"/>
              </w:rPr>
              <w:t>(99XXX)</w:t>
            </w:r>
          </w:p>
          <w:p w14:paraId="3A280637"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SE 310: Apprenticeship III (1)</w:t>
            </w:r>
          </w:p>
          <w:p w14:paraId="2C8350B0"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CS 271: Computer Architecture &amp; Assembly Language (4)</w:t>
            </w:r>
          </w:p>
          <w:p w14:paraId="54FFDCE4" w14:textId="3B949167" w:rsidR="00CB09C6" w:rsidRDefault="00CB09C6" w:rsidP="003319EB">
            <w:pPr>
              <w:widowControl/>
              <w:spacing w:after="120"/>
              <w:rPr>
                <w:rFonts w:ascii="Calibri" w:eastAsia="Calibri" w:hAnsi="Calibri" w:cs="Calibri"/>
              </w:rPr>
            </w:pPr>
            <w:r>
              <w:rPr>
                <w:rFonts w:ascii="Calibri" w:eastAsia="Calibri" w:hAnsi="Calibri" w:cs="Calibri"/>
                <w:sz w:val="20"/>
                <w:szCs w:val="20"/>
              </w:rPr>
              <w:t>BACC Core#: Cultural Diversity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5CF1C9A5" w14:textId="77777777" w:rsidTr="00CB09C6">
        <w:tc>
          <w:tcPr>
            <w:tcW w:w="9450" w:type="dxa"/>
          </w:tcPr>
          <w:p w14:paraId="42D1B5DA" w14:textId="6C888515" w:rsidR="00CB09C6" w:rsidRDefault="00CB09C6" w:rsidP="003319EB">
            <w:pPr>
              <w:widowControl/>
              <w:spacing w:after="120"/>
              <w:rPr>
                <w:rFonts w:ascii="Calibri" w:eastAsia="Calibri" w:hAnsi="Calibri" w:cs="Calibri"/>
              </w:rPr>
            </w:pPr>
            <w:r>
              <w:rPr>
                <w:rFonts w:ascii="Calibri" w:eastAsia="Calibri" w:hAnsi="Calibri" w:cs="Calibri"/>
              </w:rPr>
              <w:t>Spring</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w:t>
            </w:r>
            <w:r w:rsidR="00E377AD">
              <w:rPr>
                <w:rFonts w:ascii="Calibri" w:eastAsia="Calibri" w:hAnsi="Calibri" w:cs="Calibri"/>
                <w:b/>
                <w:sz w:val="20"/>
                <w:szCs w:val="20"/>
              </w:rPr>
              <w:t>6</w:t>
            </w:r>
            <w:r w:rsidR="004708E8">
              <w:rPr>
                <w:rFonts w:ascii="Calibri" w:eastAsia="Calibri" w:hAnsi="Calibri" w:cs="Calibri"/>
                <w:b/>
                <w:sz w:val="20"/>
                <w:szCs w:val="20"/>
              </w:rPr>
              <w:t xml:space="preserve"> - 17 </w:t>
            </w:r>
            <w:r>
              <w:rPr>
                <w:rFonts w:ascii="Calibri" w:eastAsia="Calibri" w:hAnsi="Calibri" w:cs="Calibri"/>
                <w:b/>
                <w:sz w:val="20"/>
                <w:szCs w:val="20"/>
              </w:rPr>
              <w:t>cr</w:t>
            </w:r>
          </w:p>
          <w:p w14:paraId="37CC5036" w14:textId="77777777" w:rsidR="00E377AD" w:rsidRDefault="00E377AD" w:rsidP="00E377AD">
            <w:pPr>
              <w:widowControl/>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342DF731" w14:textId="77777777" w:rsidR="00E377AD" w:rsidRDefault="00E377AD" w:rsidP="00E377AD">
            <w:pPr>
              <w:widowControl/>
              <w:spacing w:after="120"/>
              <w:rPr>
                <w:rFonts w:ascii="Calibri" w:eastAsia="Calibri" w:hAnsi="Calibri" w:cs="Calibri"/>
                <w:sz w:val="20"/>
                <w:szCs w:val="20"/>
              </w:rPr>
            </w:pPr>
            <w:r>
              <w:rPr>
                <w:rFonts w:ascii="Calibri" w:eastAsia="Calibri" w:hAnsi="Calibri" w:cs="Calibri"/>
                <w:sz w:val="20"/>
                <w:szCs w:val="20"/>
              </w:rPr>
              <w:t xml:space="preserve">SE 313: Scalability, Infrastructure and Security  III (6) </w:t>
            </w:r>
            <w:r>
              <w:rPr>
                <w:rFonts w:ascii="Calibri" w:eastAsia="Calibri" w:hAnsi="Calibri" w:cs="Calibri"/>
                <w:color w:val="C45911"/>
                <w:sz w:val="16"/>
                <w:szCs w:val="16"/>
              </w:rPr>
              <w:t>(99XXX)</w:t>
            </w:r>
          </w:p>
          <w:p w14:paraId="6270E8E4" w14:textId="77777777" w:rsidR="00E377AD" w:rsidRDefault="00E377AD" w:rsidP="00E377AD">
            <w:pPr>
              <w:widowControl/>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20A367B8" w14:textId="77777777" w:rsidR="00E377AD" w:rsidRDefault="00E377AD" w:rsidP="00E377AD">
            <w:pPr>
              <w:widowControl/>
              <w:spacing w:after="120"/>
              <w:rPr>
                <w:rFonts w:ascii="Calibri" w:eastAsia="Calibri" w:hAnsi="Calibri" w:cs="Calibri"/>
                <w:color w:val="C45911"/>
                <w:sz w:val="16"/>
                <w:szCs w:val="16"/>
              </w:rPr>
            </w:pPr>
            <w:r>
              <w:rPr>
                <w:rFonts w:ascii="Calibri" w:eastAsia="Calibri" w:hAnsi="Calibri" w:cs="Calibri"/>
                <w:sz w:val="20"/>
                <w:szCs w:val="20"/>
              </w:rPr>
              <w:t>CS 381: Programming Language Fundamentals (4)</w:t>
            </w:r>
          </w:p>
          <w:p w14:paraId="0599161B" w14:textId="69B27AE6" w:rsidR="00CB09C6" w:rsidRDefault="00E377AD" w:rsidP="004708E8">
            <w:pPr>
              <w:widowControl/>
              <w:spacing w:after="120"/>
              <w:rPr>
                <w:rFonts w:ascii="Calibri" w:eastAsia="Calibri" w:hAnsi="Calibri" w:cs="Calibri"/>
              </w:rPr>
            </w:pPr>
            <w:r>
              <w:rPr>
                <w:rFonts w:ascii="Calibri" w:eastAsia="Calibri" w:hAnsi="Calibri" w:cs="Calibri"/>
                <w:sz w:val="20"/>
                <w:szCs w:val="20"/>
              </w:rPr>
              <w:t>BACC Core#: Literature &amp; Arts (3</w:t>
            </w:r>
            <w:r w:rsidR="004708E8">
              <w:rPr>
                <w:rFonts w:ascii="Calibri" w:eastAsia="Calibri" w:hAnsi="Calibri" w:cs="Calibri"/>
                <w:sz w:val="20"/>
                <w:szCs w:val="20"/>
              </w:rPr>
              <w:t>-4</w:t>
            </w:r>
            <w:r>
              <w:rPr>
                <w:rFonts w:ascii="Calibri" w:eastAsia="Calibri" w:hAnsi="Calibri" w:cs="Calibri"/>
                <w:sz w:val="20"/>
                <w:szCs w:val="20"/>
              </w:rPr>
              <w:t>)</w:t>
            </w:r>
          </w:p>
        </w:tc>
      </w:tr>
      <w:tr w:rsidR="00CB09C6" w14:paraId="01FB2A0D" w14:textId="77777777" w:rsidTr="00CB09C6">
        <w:tc>
          <w:tcPr>
            <w:tcW w:w="9450" w:type="dxa"/>
            <w:shd w:val="clear" w:color="auto" w:fill="E7E6E6" w:themeFill="background2"/>
          </w:tcPr>
          <w:p w14:paraId="278DB23A" w14:textId="694BE4B5" w:rsidR="00CB09C6" w:rsidRDefault="00CB09C6" w:rsidP="00026554">
            <w:pPr>
              <w:widowControl/>
              <w:spacing w:after="120"/>
              <w:rPr>
                <w:rFonts w:ascii="Calibri" w:eastAsia="Calibri" w:hAnsi="Calibri" w:cs="Calibri"/>
              </w:rPr>
            </w:pPr>
            <w:r>
              <w:rPr>
                <w:rFonts w:ascii="Calibri" w:eastAsia="Calibri" w:hAnsi="Calibri" w:cs="Calibri"/>
              </w:rPr>
              <w:t>Fourth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36 – 39 cr</w:t>
            </w:r>
            <w:r>
              <w:rPr>
                <w:rFonts w:ascii="Calibri" w:eastAsia="Calibri" w:hAnsi="Calibri" w:cs="Calibri"/>
              </w:rPr>
              <w:t xml:space="preserve"> </w:t>
            </w:r>
          </w:p>
        </w:tc>
      </w:tr>
      <w:tr w:rsidR="00CB09C6" w14:paraId="7CACBBDC" w14:textId="77777777" w:rsidTr="00CB09C6">
        <w:tc>
          <w:tcPr>
            <w:tcW w:w="9450" w:type="dxa"/>
          </w:tcPr>
          <w:p w14:paraId="6A077060" w14:textId="14DE007A" w:rsidR="00CB09C6" w:rsidRDefault="00CB09C6" w:rsidP="00CB09C6">
            <w:pPr>
              <w:widowControl/>
              <w:spacing w:after="120"/>
              <w:rPr>
                <w:rFonts w:ascii="Calibri" w:eastAsia="Calibri" w:hAnsi="Calibri" w:cs="Calibri"/>
                <w:sz w:val="20"/>
                <w:szCs w:val="20"/>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4708E8">
              <w:rPr>
                <w:rFonts w:ascii="Calibri" w:eastAsia="Calibri" w:hAnsi="Calibri" w:cs="Calibri"/>
                <w:b/>
                <w:sz w:val="20"/>
                <w:szCs w:val="20"/>
              </w:rPr>
              <w:t>12 - 13</w:t>
            </w:r>
            <w:r>
              <w:rPr>
                <w:rFonts w:ascii="Calibri" w:eastAsia="Calibri" w:hAnsi="Calibri" w:cs="Calibri"/>
                <w:b/>
                <w:sz w:val="20"/>
                <w:szCs w:val="20"/>
              </w:rPr>
              <w:t xml:space="preserve"> cr</w:t>
            </w:r>
          </w:p>
          <w:p w14:paraId="3A6EF58E"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DCF2AE4"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410: Apprenticeship IV (1) </w:t>
            </w:r>
            <w:r>
              <w:rPr>
                <w:rFonts w:ascii="Calibri" w:eastAsia="Calibri" w:hAnsi="Calibri" w:cs="Calibri"/>
                <w:color w:val="C45911"/>
                <w:sz w:val="16"/>
                <w:szCs w:val="16"/>
              </w:rPr>
              <w:t>(99XXX)</w:t>
            </w:r>
          </w:p>
          <w:p w14:paraId="5748CB1A"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325: Analysis of Algorithms (4)</w:t>
            </w:r>
          </w:p>
          <w:p w14:paraId="4B3CF5C1" w14:textId="558C2E3C"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Difference, Power &amp; Discrimination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6694374B" w14:textId="77777777" w:rsidTr="00CB09C6">
        <w:tc>
          <w:tcPr>
            <w:tcW w:w="9450" w:type="dxa"/>
          </w:tcPr>
          <w:p w14:paraId="16F27A04" w14:textId="2A04FFB2" w:rsidR="00CB09C6" w:rsidRDefault="00CB09C6" w:rsidP="00CB09C6">
            <w:pPr>
              <w:widowControl/>
              <w:spacing w:after="120"/>
              <w:rPr>
                <w:rFonts w:ascii="Calibri" w:eastAsia="Calibri" w:hAnsi="Calibri" w:cs="Calibri"/>
                <w:sz w:val="20"/>
                <w:szCs w:val="20"/>
              </w:rPr>
            </w:pPr>
            <w:r>
              <w:rPr>
                <w:rFonts w:ascii="Calibri" w:eastAsia="Calibri" w:hAnsi="Calibri" w:cs="Calibri"/>
              </w:rPr>
              <w:t>Winter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2507A1">
              <w:rPr>
                <w:rFonts w:ascii="Calibri" w:eastAsia="Calibri" w:hAnsi="Calibri" w:cs="Calibri"/>
                <w:b/>
                <w:sz w:val="20"/>
                <w:szCs w:val="20"/>
              </w:rPr>
              <w:t>12</w:t>
            </w:r>
            <w:r w:rsidR="004708E8">
              <w:rPr>
                <w:rFonts w:ascii="Calibri" w:eastAsia="Calibri" w:hAnsi="Calibri" w:cs="Calibri"/>
                <w:b/>
                <w:sz w:val="20"/>
                <w:szCs w:val="20"/>
              </w:rPr>
              <w:t xml:space="preserve"> </w:t>
            </w:r>
            <w:r w:rsidR="002507A1">
              <w:rPr>
                <w:rFonts w:ascii="Calibri" w:eastAsia="Calibri" w:hAnsi="Calibri" w:cs="Calibri"/>
                <w:b/>
                <w:sz w:val="20"/>
                <w:szCs w:val="20"/>
              </w:rPr>
              <w:t>-</w:t>
            </w:r>
            <w:r w:rsidR="004708E8">
              <w:rPr>
                <w:rFonts w:ascii="Calibri" w:eastAsia="Calibri" w:hAnsi="Calibri" w:cs="Calibri"/>
                <w:b/>
                <w:sz w:val="20"/>
                <w:szCs w:val="20"/>
              </w:rPr>
              <w:t xml:space="preserve"> </w:t>
            </w:r>
            <w:r w:rsidR="002507A1">
              <w:rPr>
                <w:rFonts w:ascii="Calibri" w:eastAsia="Calibri" w:hAnsi="Calibri" w:cs="Calibri"/>
                <w:b/>
                <w:sz w:val="20"/>
                <w:szCs w:val="20"/>
              </w:rPr>
              <w:t>13</w:t>
            </w:r>
            <w:r>
              <w:rPr>
                <w:rFonts w:ascii="Calibri" w:eastAsia="Calibri" w:hAnsi="Calibri" w:cs="Calibri"/>
                <w:b/>
                <w:sz w:val="20"/>
                <w:szCs w:val="20"/>
              </w:rPr>
              <w:t xml:space="preserve"> cr</w:t>
            </w:r>
          </w:p>
          <w:p w14:paraId="6F3FA3CC"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lastRenderedPageBreak/>
              <w:t xml:space="preserve">SE 412: Business of Software II (4, WIC) </w:t>
            </w:r>
            <w:r>
              <w:rPr>
                <w:rFonts w:ascii="Calibri" w:eastAsia="Calibri" w:hAnsi="Calibri" w:cs="Calibri"/>
                <w:color w:val="C45911"/>
                <w:sz w:val="16"/>
                <w:szCs w:val="16"/>
              </w:rPr>
              <w:t>(99XXX)</w:t>
            </w:r>
          </w:p>
          <w:p w14:paraId="777BB9B9"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410: Apprenticeship IV (1)</w:t>
            </w:r>
          </w:p>
          <w:p w14:paraId="33228360"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344: Operating Systems I (4)</w:t>
            </w:r>
          </w:p>
          <w:p w14:paraId="5EA7CDEF" w14:textId="7A879C41"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Synthesis, Contemporary Global Issues (3</w:t>
            </w:r>
            <w:r w:rsidR="002507A1">
              <w:rPr>
                <w:rFonts w:ascii="Calibri" w:eastAsia="Calibri" w:hAnsi="Calibri" w:cs="Calibri"/>
                <w:sz w:val="20"/>
                <w:szCs w:val="20"/>
              </w:rPr>
              <w:t xml:space="preserve"> - 4</w:t>
            </w:r>
            <w:r>
              <w:rPr>
                <w:rFonts w:ascii="Calibri" w:eastAsia="Calibri" w:hAnsi="Calibri" w:cs="Calibri"/>
                <w:sz w:val="20"/>
                <w:szCs w:val="20"/>
              </w:rPr>
              <w:t>)</w:t>
            </w:r>
          </w:p>
        </w:tc>
      </w:tr>
      <w:tr w:rsidR="00CB09C6" w14:paraId="5026D30B" w14:textId="77777777" w:rsidTr="00CB09C6">
        <w:tc>
          <w:tcPr>
            <w:tcW w:w="9450" w:type="dxa"/>
          </w:tcPr>
          <w:p w14:paraId="590632F9" w14:textId="08E04E42" w:rsidR="00CB09C6" w:rsidRDefault="00CB09C6" w:rsidP="00CB09C6">
            <w:pPr>
              <w:widowControl/>
              <w:spacing w:after="120"/>
              <w:rPr>
                <w:rFonts w:ascii="Calibri" w:eastAsia="Calibri" w:hAnsi="Calibri" w:cs="Calibri"/>
                <w:sz w:val="20"/>
                <w:szCs w:val="20"/>
              </w:rPr>
            </w:pPr>
            <w:r>
              <w:rPr>
                <w:rFonts w:ascii="Calibri" w:eastAsia="Calibri" w:hAnsi="Calibri" w:cs="Calibri"/>
              </w:rPr>
              <w:lastRenderedPageBreak/>
              <w:t>Spring</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w:t>
            </w:r>
            <w:r w:rsidR="002507A1">
              <w:rPr>
                <w:rFonts w:ascii="Calibri" w:eastAsia="Calibri" w:hAnsi="Calibri" w:cs="Calibri"/>
                <w:b/>
                <w:sz w:val="20"/>
                <w:szCs w:val="20"/>
              </w:rPr>
              <w:t>2</w:t>
            </w:r>
            <w:r w:rsidR="004708E8">
              <w:rPr>
                <w:rFonts w:ascii="Calibri" w:eastAsia="Calibri" w:hAnsi="Calibri" w:cs="Calibri"/>
                <w:b/>
                <w:sz w:val="20"/>
                <w:szCs w:val="20"/>
              </w:rPr>
              <w:t xml:space="preserve"> </w:t>
            </w:r>
            <w:r w:rsidR="002507A1">
              <w:rPr>
                <w:rFonts w:ascii="Calibri" w:eastAsia="Calibri" w:hAnsi="Calibri" w:cs="Calibri"/>
                <w:b/>
                <w:sz w:val="20"/>
                <w:szCs w:val="20"/>
              </w:rPr>
              <w:t>-</w:t>
            </w:r>
            <w:r w:rsidR="004708E8">
              <w:rPr>
                <w:rFonts w:ascii="Calibri" w:eastAsia="Calibri" w:hAnsi="Calibri" w:cs="Calibri"/>
                <w:b/>
                <w:sz w:val="20"/>
                <w:szCs w:val="20"/>
              </w:rPr>
              <w:t xml:space="preserve"> </w:t>
            </w:r>
            <w:r w:rsidR="002507A1">
              <w:rPr>
                <w:rFonts w:ascii="Calibri" w:eastAsia="Calibri" w:hAnsi="Calibri" w:cs="Calibri"/>
                <w:b/>
                <w:sz w:val="20"/>
                <w:szCs w:val="20"/>
              </w:rPr>
              <w:t>13</w:t>
            </w:r>
            <w:r>
              <w:rPr>
                <w:rFonts w:ascii="Calibri" w:eastAsia="Calibri" w:hAnsi="Calibri" w:cs="Calibri"/>
                <w:b/>
                <w:sz w:val="20"/>
                <w:szCs w:val="20"/>
              </w:rPr>
              <w:t xml:space="preserve"> cr</w:t>
            </w:r>
          </w:p>
          <w:p w14:paraId="5DDE729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39DE0509"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410: Apprenticeship IV (1)</w:t>
            </w:r>
          </w:p>
          <w:p w14:paraId="1C72D30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085F6EB5" w14:textId="274D4DFF"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Social Processes &amp; Institutions (3</w:t>
            </w:r>
            <w:r w:rsidR="002507A1">
              <w:rPr>
                <w:rFonts w:ascii="Calibri" w:eastAsia="Calibri" w:hAnsi="Calibri" w:cs="Calibri"/>
                <w:sz w:val="20"/>
                <w:szCs w:val="20"/>
              </w:rPr>
              <w:t xml:space="preserve"> - 4</w:t>
            </w:r>
            <w:r>
              <w:rPr>
                <w:rFonts w:ascii="Calibri" w:eastAsia="Calibri" w:hAnsi="Calibri" w:cs="Calibri"/>
                <w:sz w:val="20"/>
                <w:szCs w:val="20"/>
              </w:rPr>
              <w:t>)</w:t>
            </w:r>
          </w:p>
        </w:tc>
      </w:tr>
      <w:tr w:rsidR="003319EB" w14:paraId="446ED679" w14:textId="77777777" w:rsidTr="00CB09C6">
        <w:tc>
          <w:tcPr>
            <w:tcW w:w="9450" w:type="dxa"/>
          </w:tcPr>
          <w:p w14:paraId="5908DF64" w14:textId="05AE53F0" w:rsidR="003319EB" w:rsidRPr="003319EB" w:rsidRDefault="003319EB" w:rsidP="00CB09C6">
            <w:pPr>
              <w:widowControl/>
              <w:spacing w:after="120"/>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3319EB">
              <w:rPr>
                <w:rFonts w:ascii="Calibri" w:eastAsia="Calibri" w:hAnsi="Calibri" w:cs="Calibri"/>
                <w:b/>
              </w:rPr>
              <w:t xml:space="preserve">Total Credit Hours </w:t>
            </w:r>
            <w:r w:rsidRPr="003319EB">
              <w:rPr>
                <w:rFonts w:ascii="Calibri" w:eastAsia="Calibri" w:hAnsi="Calibri" w:cs="Calibri"/>
                <w:b/>
              </w:rPr>
              <w:tab/>
              <w:t>175 - 181</w:t>
            </w:r>
          </w:p>
        </w:tc>
      </w:tr>
    </w:tbl>
    <w:p w14:paraId="6427C33A" w14:textId="162EBB7A" w:rsidR="00332A48" w:rsidRDefault="00180294" w:rsidP="009D2656">
      <w:pPr>
        <w:widowControl/>
        <w:spacing w:after="120"/>
        <w:ind w:left="-180" w:right="-540"/>
        <w:jc w:val="center"/>
        <w:rPr>
          <w:rFonts w:ascii="Calibri" w:eastAsia="Calibri" w:hAnsi="Calibri" w:cs="Calibri"/>
          <w:b/>
          <w:sz w:val="20"/>
          <w:szCs w:val="20"/>
        </w:rPr>
      </w:pPr>
      <w:r>
        <w:rPr>
          <w:rFonts w:ascii="Calibri" w:eastAsia="Calibri" w:hAnsi="Calibri" w:cs="Calibri"/>
          <w:b/>
          <w:sz w:val="20"/>
          <w:szCs w:val="20"/>
        </w:rPr>
        <w:t xml:space="preserve">*Freshman Skill Courses (16 credits)       #BACC Core (48 cr)       </w:t>
      </w:r>
      <w:r>
        <w:rPr>
          <w:rFonts w:ascii="Calibri" w:eastAsia="Calibri" w:hAnsi="Calibri" w:cs="Calibri"/>
          <w:b/>
          <w:color w:val="FF0000"/>
          <w:sz w:val="20"/>
          <w:szCs w:val="20"/>
        </w:rPr>
        <w:t>99XXX</w:t>
      </w:r>
      <w:r>
        <w:rPr>
          <w:rFonts w:ascii="Calibri" w:eastAsia="Calibri" w:hAnsi="Calibri" w:cs="Calibri"/>
          <w:b/>
          <w:sz w:val="20"/>
          <w:szCs w:val="20"/>
        </w:rPr>
        <w:t>- CAT II course proposal</w:t>
      </w:r>
    </w:p>
    <w:p w14:paraId="4221672A" w14:textId="77777777" w:rsidR="00D64C9A" w:rsidRDefault="00D64C9A" w:rsidP="003319EB">
      <w:pPr>
        <w:spacing w:after="120"/>
        <w:ind w:left="720"/>
        <w:rPr>
          <w:rFonts w:ascii="Garamond" w:eastAsia="Garamond" w:hAnsi="Garamond" w:cs="Garamond"/>
          <w:b/>
        </w:rPr>
      </w:pPr>
    </w:p>
    <w:p w14:paraId="67CC4D52" w14:textId="47C74150" w:rsidR="00D64C9A" w:rsidRPr="00D64C9A" w:rsidRDefault="00D64C9A" w:rsidP="003319EB">
      <w:pPr>
        <w:spacing w:after="120"/>
        <w:ind w:left="720"/>
        <w:rPr>
          <w:rFonts w:ascii="Garamond" w:eastAsia="Garamond" w:hAnsi="Garamond" w:cs="Garamond"/>
          <w:b/>
        </w:rPr>
      </w:pPr>
      <w:r>
        <w:rPr>
          <w:rFonts w:ascii="Garamond" w:eastAsia="Garamond" w:hAnsi="Garamond" w:cs="Garamond"/>
          <w:b/>
        </w:rPr>
        <w:t>OSU Graduation Requirements</w:t>
      </w:r>
    </w:p>
    <w:p w14:paraId="643AF7CA" w14:textId="0D7379ED" w:rsidR="00D64C9A" w:rsidRDefault="00D64C9A" w:rsidP="003319EB">
      <w:pPr>
        <w:spacing w:after="120"/>
        <w:ind w:left="720"/>
        <w:rPr>
          <w:rFonts w:ascii="Garamond" w:eastAsia="Garamond" w:hAnsi="Garamond" w:cs="Garamond"/>
        </w:rPr>
      </w:pPr>
      <w:r>
        <w:rPr>
          <w:rFonts w:ascii="Garamond" w:eastAsia="Garamond" w:hAnsi="Garamond" w:cs="Garamond"/>
        </w:rPr>
        <w:t xml:space="preserve">180 total credits: </w:t>
      </w:r>
      <w:r>
        <w:rPr>
          <w:rFonts w:ascii="Garamond" w:eastAsia="Garamond" w:hAnsi="Garamond" w:cs="Garamond"/>
        </w:rPr>
        <w:tab/>
      </w:r>
      <w:r>
        <w:rPr>
          <w:rFonts w:ascii="Garamond" w:eastAsia="Garamond" w:hAnsi="Garamond" w:cs="Garamond"/>
        </w:rPr>
        <w:tab/>
        <w:t>175 – 181 credits (139 major</w:t>
      </w:r>
      <w:r>
        <w:rPr>
          <w:rFonts w:ascii="Garamond" w:eastAsia="Garamond" w:hAnsi="Garamond" w:cs="Garamond"/>
        </w:rPr>
        <w:t xml:space="preserve"> </w:t>
      </w:r>
      <w:r>
        <w:rPr>
          <w:rFonts w:ascii="Garamond" w:eastAsia="Garamond" w:hAnsi="Garamond" w:cs="Garamond"/>
        </w:rPr>
        <w:t xml:space="preserve">and </w:t>
      </w:r>
      <w:r>
        <w:rPr>
          <w:rFonts w:ascii="Garamond" w:eastAsia="Garamond" w:hAnsi="Garamond" w:cs="Garamond"/>
        </w:rPr>
        <w:t xml:space="preserve">36 </w:t>
      </w:r>
      <w:r>
        <w:rPr>
          <w:rFonts w:ascii="Garamond" w:eastAsia="Garamond" w:hAnsi="Garamond" w:cs="Garamond"/>
        </w:rPr>
        <w:t>- 42 bacc core)</w:t>
      </w:r>
    </w:p>
    <w:p w14:paraId="5ECF0371" w14:textId="1134D0C5" w:rsidR="00D64C9A" w:rsidRDefault="00D64C9A" w:rsidP="00645859">
      <w:pPr>
        <w:spacing w:after="120"/>
        <w:ind w:left="720"/>
        <w:rPr>
          <w:rFonts w:ascii="Garamond" w:eastAsia="Garamond" w:hAnsi="Garamond" w:cs="Garamond"/>
        </w:rPr>
      </w:pPr>
      <w:r>
        <w:rPr>
          <w:rFonts w:ascii="Garamond" w:eastAsia="Garamond" w:hAnsi="Garamond" w:cs="Garamond"/>
        </w:rPr>
        <w:t xml:space="preserve">60 upper division credits: </w:t>
      </w:r>
      <w:r>
        <w:rPr>
          <w:rFonts w:ascii="Garamond" w:eastAsia="Garamond" w:hAnsi="Garamond" w:cs="Garamond"/>
        </w:rPr>
        <w:tab/>
        <w:t>68 upper division credits in major</w:t>
      </w:r>
    </w:p>
    <w:p w14:paraId="3239E1C5" w14:textId="1B9D5D52" w:rsidR="00645859" w:rsidRPr="00645859" w:rsidRDefault="00645859" w:rsidP="00645859">
      <w:pPr>
        <w:spacing w:after="120"/>
        <w:ind w:left="720"/>
        <w:rPr>
          <w:rFonts w:ascii="Garamond" w:eastAsia="Garamond" w:hAnsi="Garamond" w:cs="Garamond"/>
          <w:b/>
        </w:rPr>
      </w:pPr>
      <w:r w:rsidRPr="00645859">
        <w:rPr>
          <w:rFonts w:ascii="Garamond" w:eastAsia="Garamond" w:hAnsi="Garamond" w:cs="Garamond"/>
          <w:b/>
        </w:rPr>
        <w:t>OSU Engineering Professional School</w:t>
      </w:r>
    </w:p>
    <w:p w14:paraId="43FD4382" w14:textId="35086735" w:rsidR="003319EB" w:rsidRDefault="003319EB" w:rsidP="003319EB">
      <w:pPr>
        <w:spacing w:after="120"/>
        <w:ind w:left="720"/>
        <w:rPr>
          <w:rFonts w:ascii="Garamond" w:eastAsia="Garamond" w:hAnsi="Garamond" w:cs="Garamond"/>
        </w:rPr>
      </w:pPr>
      <w:r>
        <w:rPr>
          <w:rFonts w:ascii="Garamond" w:eastAsia="Garamond" w:hAnsi="Garamond" w:cs="Garamond"/>
        </w:rPr>
        <w:t xml:space="preserve">The first two years of the program include </w:t>
      </w:r>
      <w:r w:rsidR="00024CB4">
        <w:rPr>
          <w:rFonts w:ascii="Garamond" w:eastAsia="Garamond" w:hAnsi="Garamond" w:cs="Garamond"/>
        </w:rPr>
        <w:t>“</w:t>
      </w:r>
      <w:r>
        <w:rPr>
          <w:rFonts w:ascii="Garamond" w:eastAsia="Garamond" w:hAnsi="Garamond" w:cs="Garamond"/>
        </w:rPr>
        <w:t>pre-professional</w:t>
      </w:r>
      <w:r w:rsidR="00024CB4">
        <w:rPr>
          <w:rFonts w:ascii="Garamond" w:eastAsia="Garamond" w:hAnsi="Garamond" w:cs="Garamond"/>
        </w:rPr>
        <w:t>”</w:t>
      </w:r>
      <w:r>
        <w:rPr>
          <w:rFonts w:ascii="Garamond" w:eastAsia="Garamond" w:hAnsi="Garamond" w:cs="Garamond"/>
        </w:rPr>
        <w:t xml:space="preserve"> courses unique to the program that</w:t>
      </w:r>
      <w:r w:rsidR="00024CB4">
        <w:rPr>
          <w:rFonts w:ascii="Garamond" w:eastAsia="Garamond" w:hAnsi="Garamond" w:cs="Garamond"/>
        </w:rPr>
        <w:t xml:space="preserve"> </w:t>
      </w:r>
      <w:r>
        <w:rPr>
          <w:rFonts w:ascii="Garamond" w:eastAsia="Garamond" w:hAnsi="Garamond" w:cs="Garamond"/>
        </w:rPr>
        <w:t xml:space="preserve">must be taken at OSU-Cascades. The second two years are </w:t>
      </w:r>
      <w:r w:rsidR="00024CB4">
        <w:rPr>
          <w:rFonts w:ascii="Garamond" w:eastAsia="Garamond" w:hAnsi="Garamond" w:cs="Garamond"/>
        </w:rPr>
        <w:t>“</w:t>
      </w:r>
      <w:r>
        <w:rPr>
          <w:rFonts w:ascii="Garamond" w:eastAsia="Garamond" w:hAnsi="Garamond" w:cs="Garamond"/>
        </w:rPr>
        <w:t>professional</w:t>
      </w:r>
      <w:r w:rsidR="00024CB4">
        <w:rPr>
          <w:rFonts w:ascii="Garamond" w:eastAsia="Garamond" w:hAnsi="Garamond" w:cs="Garamond"/>
        </w:rPr>
        <w:t>”</w:t>
      </w:r>
      <w:r>
        <w:rPr>
          <w:rFonts w:ascii="Garamond" w:eastAsia="Garamond" w:hAnsi="Garamond" w:cs="Garamond"/>
        </w:rPr>
        <w:t xml:space="preserve">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w:t>
      </w:r>
      <w:r w:rsidR="00024CB4">
        <w:rPr>
          <w:rFonts w:ascii="Garamond" w:eastAsia="Garamond" w:hAnsi="Garamond" w:cs="Garamond"/>
        </w:rPr>
        <w:t>academic programs</w:t>
      </w:r>
      <w:r>
        <w:rPr>
          <w:rFonts w:ascii="Garamond" w:eastAsia="Garamond" w:hAnsi="Garamond" w:cs="Garamond"/>
        </w:rPr>
        <w:t xml:space="preserve"> in the College of Engineering.</w:t>
      </w:r>
    </w:p>
    <w:p w14:paraId="7F11D15A" w14:textId="77777777" w:rsidR="00645859" w:rsidRPr="003319EB" w:rsidRDefault="00645859" w:rsidP="003319EB">
      <w:pPr>
        <w:spacing w:after="120"/>
        <w:ind w:left="720"/>
        <w:rPr>
          <w:rFonts w:ascii="Garamond" w:eastAsia="Garamond" w:hAnsi="Garamond" w:cs="Garamond"/>
        </w:rPr>
      </w:pPr>
    </w:p>
    <w:p w14:paraId="64797E88"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23F807EA"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OSU-Cascades campus will deliver the Software Engineering program as a face-to-face, on-campus program in Bend, while housed within the OSU College of Engineering. Course scheduling </w:t>
      </w:r>
    </w:p>
    <w:p w14:paraId="7D54740C" w14:textId="5DA5A8BF" w:rsidR="00332A48" w:rsidRDefault="00332A48">
      <w:pPr>
        <w:spacing w:after="120"/>
        <w:ind w:left="720"/>
        <w:rPr>
          <w:rFonts w:ascii="Garamond" w:eastAsia="Garamond" w:hAnsi="Garamond" w:cs="Garamond"/>
        </w:rPr>
      </w:pPr>
      <w:bookmarkStart w:id="0" w:name="_GoBack"/>
      <w:bookmarkEnd w:id="0"/>
    </w:p>
    <w:p w14:paraId="2BF4DA9C" w14:textId="77777777" w:rsidR="00332A48" w:rsidRDefault="00332A48">
      <w:pPr>
        <w:spacing w:after="120"/>
        <w:ind w:left="720"/>
        <w:rPr>
          <w:rFonts w:ascii="Garamond" w:eastAsia="Garamond" w:hAnsi="Garamond" w:cs="Garamond"/>
        </w:rPr>
      </w:pPr>
    </w:p>
    <w:p w14:paraId="6B735C06"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439E4BB7"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of faculty resources – full-time, part-time, adjunct.</w:t>
      </w:r>
    </w:p>
    <w:p w14:paraId="2ACB76EF"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Other staff.</w:t>
      </w:r>
    </w:p>
    <w:p w14:paraId="5A9E854A"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0E6C5941" w14:textId="77777777" w:rsidR="00332A48" w:rsidRDefault="00180294">
      <w:pPr>
        <w:numPr>
          <w:ilvl w:val="0"/>
          <w:numId w:val="8"/>
        </w:numPr>
        <w:rPr>
          <w:rFonts w:ascii="Garamond" w:eastAsia="Garamond" w:hAnsi="Garamond" w:cs="Garamond"/>
        </w:rPr>
      </w:pPr>
      <w:r>
        <w:rPr>
          <w:rFonts w:ascii="Garamond" w:eastAsia="Garamond" w:hAnsi="Garamond" w:cs="Garamond"/>
        </w:rPr>
        <w:t>Anticipated start date.</w:t>
      </w:r>
    </w:p>
    <w:p w14:paraId="6DA8BF45" w14:textId="77777777" w:rsidR="00332A48" w:rsidRDefault="00332A48">
      <w:pPr>
        <w:spacing w:after="120"/>
        <w:ind w:left="720"/>
        <w:rPr>
          <w:rFonts w:ascii="Garamond" w:eastAsia="Garamond" w:hAnsi="Garamond" w:cs="Garamond"/>
        </w:rPr>
      </w:pPr>
    </w:p>
    <w:p w14:paraId="7DBE9DCB"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lastRenderedPageBreak/>
        <w:t>Relationship to Mission and Goals</w:t>
      </w:r>
    </w:p>
    <w:p w14:paraId="14B86BF6" w14:textId="77777777" w:rsidR="00332A48" w:rsidRDefault="00180294">
      <w:pPr>
        <w:numPr>
          <w:ilvl w:val="0"/>
          <w:numId w:val="3"/>
        </w:numPr>
        <w:spacing w:after="120"/>
        <w:rPr>
          <w:rFonts w:ascii="Garamond" w:eastAsia="Garamond" w:hAnsi="Garamond" w:cs="Garamond"/>
        </w:rPr>
      </w:pPr>
      <w:r>
        <w:rPr>
          <w:rFonts w:ascii="Garamond" w:eastAsia="Garamond" w:hAnsi="Garamond" w:cs="Garamond"/>
        </w:rPr>
        <w:t>Manner in which the proposed program supports the institution’s mission, signature areas of focus, and strategic priorities.</w:t>
      </w:r>
    </w:p>
    <w:p w14:paraId="02126F8C" w14:textId="77777777" w:rsidR="00332A48" w:rsidRDefault="00180294">
      <w:pPr>
        <w:spacing w:after="120"/>
        <w:ind w:left="720"/>
        <w:rPr>
          <w:rFonts w:ascii="Garamond" w:eastAsia="Garamond" w:hAnsi="Garamond" w:cs="Garamond"/>
        </w:rPr>
      </w:pPr>
      <w:r>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p>
    <w:p w14:paraId="184E03A9"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incorporates effective, research-supported pedagogy within a hands-on classroom and curriculum design; organizes opportunities for student and faculty outreach into the community of Central Oregon; and integrates economic, social, cultural and environmental issues through world-relevant coursework and professional practice.</w:t>
      </w:r>
    </w:p>
    <w:p w14:paraId="03EF2DE9" w14:textId="77777777" w:rsidR="00332A48" w:rsidRDefault="00180294">
      <w:pPr>
        <w:spacing w:after="120"/>
        <w:ind w:left="720"/>
        <w:rPr>
          <w:rFonts w:ascii="Garamond" w:eastAsia="Garamond" w:hAnsi="Garamond" w:cs="Garamond"/>
          <w:i/>
        </w:rPr>
      </w:pPr>
      <w:r>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 (OSU, 2017)</w:t>
      </w:r>
    </w:p>
    <w:p w14:paraId="09C10104"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 technologies supports the achievement of the OSU mission.</w:t>
      </w:r>
    </w:p>
    <w:p w14:paraId="4C50A0DD" w14:textId="77777777" w:rsidR="00332A48" w:rsidRDefault="00180294">
      <w:pPr>
        <w:spacing w:after="120"/>
        <w:ind w:left="720"/>
        <w:rPr>
          <w:rFonts w:ascii="Garamond" w:eastAsia="Garamond" w:hAnsi="Garamond" w:cs="Garamond"/>
          <w:i/>
        </w:rPr>
      </w:pPr>
      <w:r>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4C3810C8"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is inherently cross-disciplinary, and positions itself across OSU’s three Signature Areas. For example, students may engineer a software system that transmits, aggregates, mines and visualizes sensor data for river restoration; they may engage with a local medical device company to improve software reliability and security, or build applications that assist the disabled; and, they may integrate new systems, techniques and solutions that they bring to market through their own startup business, creating new jobs and economic growth.</w:t>
      </w:r>
    </w:p>
    <w:p w14:paraId="1DE8A1F9" w14:textId="77777777" w:rsidR="00332A48" w:rsidRDefault="00180294">
      <w:pPr>
        <w:spacing w:after="120"/>
        <w:ind w:left="720"/>
        <w:rPr>
          <w:rFonts w:ascii="Garamond" w:eastAsia="Garamond" w:hAnsi="Garamond" w:cs="Garamond"/>
        </w:rPr>
      </w:pPr>
      <w:r>
        <w:rPr>
          <w:rFonts w:ascii="Garamond" w:eastAsia="Garamond" w:hAnsi="Garamond" w:cs="Garamond"/>
        </w:rPr>
        <w:t>Strategically, one priority for the OSU-Cascades campus is to distinguish itself with innovative, world-class, “destination degree programs” not offered at most institutions. The Software Engineering program exemplifies such a program, following the success of the existing Energy Systems Engineering program, and co-existing with other innovative new programs, such as Outdoor Products.</w:t>
      </w:r>
    </w:p>
    <w:p w14:paraId="009A94B8" w14:textId="77777777" w:rsidR="00332A48" w:rsidRDefault="00180294">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learning, research, knowledge creation and innovation, and economic and cultural support of Oregon and its communities.</w:t>
      </w:r>
    </w:p>
    <w:p w14:paraId="4548005B"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Software Engineering program approaches student access and diversity as a continuum, beginning with K-12 outreach (Bush &amp; Miller, 2017; Wilson et al, 2010) and bringing K-12 students onto campus to observe Software Engineering classes and students (Engle et al, 2006). The program ensures an approachable introductory course sequence for students with diverse backgrounds (Cohoon &amp; Tychonievich, 2011), implements an authentic, hands-on, and world-relevant active learning experience (Eisenberg, 2017), cultivates a community of </w:t>
      </w:r>
      <w:r>
        <w:rPr>
          <w:rFonts w:ascii="Garamond" w:eastAsia="Garamond" w:hAnsi="Garamond" w:cs="Garamond"/>
        </w:rPr>
        <w:lastRenderedPageBreak/>
        <w:t>supportive peers through specific learning methods (Nagappan, 2013), and integrates professional exposure early in the curriculum, to support student career-readiness upon graduation.</w:t>
      </w:r>
    </w:p>
    <w:p w14:paraId="76426EA9"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has, as its advantage, the ability to implement effective teaching and learning techniques, and experiences for knowledge creation, based on decades of prior research in engineering and computer science education. Furthermore, the engagement of real-world problems, elicited from local, regional and statewide businesses directly contributes to innovation, economic and cultural support of Oregon.</w:t>
      </w:r>
    </w:p>
    <w:p w14:paraId="6D9C3943" w14:textId="77777777" w:rsidR="00332A48" w:rsidRDefault="00180294">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1D4DA086"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region and state;</w:t>
      </w:r>
    </w:p>
    <w:p w14:paraId="4613FEC9"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respond effectively to social, economic, and environmental challenges and opportunities; and</w:t>
      </w:r>
    </w:p>
    <w:p w14:paraId="08223127"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22C44743" w14:textId="77777777" w:rsidR="00332A48" w:rsidRDefault="00332A48">
      <w:pPr>
        <w:tabs>
          <w:tab w:val="left" w:pos="720"/>
        </w:tabs>
        <w:rPr>
          <w:rFonts w:ascii="Garamond" w:eastAsia="Garamond" w:hAnsi="Garamond" w:cs="Garamond"/>
        </w:rPr>
      </w:pPr>
    </w:p>
    <w:p w14:paraId="5EEEA19E" w14:textId="77777777" w:rsidR="00332A48" w:rsidRDefault="00180294">
      <w:pPr>
        <w:tabs>
          <w:tab w:val="left" w:pos="720"/>
        </w:tabs>
        <w:ind w:left="720"/>
        <w:rPr>
          <w:rFonts w:ascii="Garamond" w:eastAsia="Garamond" w:hAnsi="Garamond" w:cs="Garamond"/>
        </w:rPr>
      </w:pPr>
      <w:r>
        <w:rPr>
          <w:rFonts w:ascii="Garamond" w:eastAsia="Garamond" w:hAnsi="Garamond" w:cs="Garamond"/>
        </w:rPr>
        <w:t>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The Software Engineering program capitalizes on the lower division preparation provided by COCC to remote communities to recruit diverse students. By working in partnership with COCC, we have created a pathway to the undergraduate degree that can be started at either institution.</w:t>
      </w:r>
    </w:p>
    <w:p w14:paraId="03BB00CB" w14:textId="77777777" w:rsidR="00332A48" w:rsidRDefault="00332A48">
      <w:pPr>
        <w:tabs>
          <w:tab w:val="left" w:pos="720"/>
        </w:tabs>
        <w:ind w:left="720"/>
        <w:rPr>
          <w:rFonts w:ascii="Garamond" w:eastAsia="Garamond" w:hAnsi="Garamond" w:cs="Garamond"/>
        </w:rPr>
      </w:pPr>
    </w:p>
    <w:p w14:paraId="381A2FC8" w14:textId="77777777" w:rsidR="00332A48" w:rsidRDefault="00180294">
      <w:pPr>
        <w:tabs>
          <w:tab w:val="left" w:pos="0"/>
        </w:tabs>
        <w:rPr>
          <w:rFonts w:ascii="Garamond" w:eastAsia="Garamond" w:hAnsi="Garamond" w:cs="Garamond"/>
        </w:rPr>
      </w:pPr>
      <w:r>
        <w:rPr>
          <w:rFonts w:ascii="Garamond" w:eastAsia="Garamond" w:hAnsi="Garamond" w:cs="Garamond"/>
        </w:rPr>
        <w:t xml:space="preserve"> </w:t>
      </w:r>
      <w:r>
        <w:rPr>
          <w:noProof/>
        </w:rPr>
        <w:drawing>
          <wp:inline distT="0" distB="0" distL="114300" distR="114300" wp14:anchorId="687648FF" wp14:editId="1CDB4F7B">
            <wp:extent cx="3645535" cy="1967230"/>
            <wp:effectExtent l="0" t="0" r="0" b="0"/>
            <wp:docPr id="1" name="image4.png" descr="https://www.insidehighered.com/sites/default/server_files/styles/large/public/media/Deserts_1.png?itok=xpOF4XUr"/>
            <wp:cNvGraphicFramePr/>
            <a:graphic xmlns:a="http://schemas.openxmlformats.org/drawingml/2006/main">
              <a:graphicData uri="http://schemas.openxmlformats.org/drawingml/2006/picture">
                <pic:pic xmlns:pic="http://schemas.openxmlformats.org/drawingml/2006/picture">
                  <pic:nvPicPr>
                    <pic:cNvPr id="0" name="image4.png" descr="https://www.insidehighered.com/sites/default/server_files/styles/large/public/media/Deserts_1.png?itok=xpOF4XUr"/>
                    <pic:cNvPicPr preferRelativeResize="0"/>
                  </pic:nvPicPr>
                  <pic:blipFill>
                    <a:blip r:embed="rId8"/>
                    <a:srcRect/>
                    <a:stretch>
                      <a:fillRect/>
                    </a:stretch>
                  </pic:blipFill>
                  <pic:spPr>
                    <a:xfrm>
                      <a:off x="0" y="0"/>
                      <a:ext cx="3645535" cy="1967230"/>
                    </a:xfrm>
                    <a:prstGeom prst="rect">
                      <a:avLst/>
                    </a:prstGeom>
                    <a:ln/>
                  </pic:spPr>
                </pic:pic>
              </a:graphicData>
            </a:graphic>
          </wp:inline>
        </w:drawing>
      </w:r>
      <w:r>
        <w:rPr>
          <w:noProof/>
        </w:rPr>
        <w:drawing>
          <wp:inline distT="0" distB="0" distL="114300" distR="114300" wp14:anchorId="2484EA4B" wp14:editId="1A1CF319">
            <wp:extent cx="2114550" cy="2388870"/>
            <wp:effectExtent l="0" t="0" r="0" b="0"/>
            <wp:docPr id="3" name="image6.png" descr="https://www.insidehighered.com/sites/default/server_files/images/Median%20distance%20from%20students%27%20homes%20to%20college%20%28miles%29.png"/>
            <wp:cNvGraphicFramePr/>
            <a:graphic xmlns:a="http://schemas.openxmlformats.org/drawingml/2006/main">
              <a:graphicData uri="http://schemas.openxmlformats.org/drawingml/2006/picture">
                <pic:pic xmlns:pic="http://schemas.openxmlformats.org/drawingml/2006/picture">
                  <pic:nvPicPr>
                    <pic:cNvPr id="0" name="image6.png" descr="https://www.insidehighered.com/sites/default/server_files/images/Median%20distance%20from%20students%27%20homes%20to%20college%20%28miles%29.png"/>
                    <pic:cNvPicPr preferRelativeResize="0"/>
                  </pic:nvPicPr>
                  <pic:blipFill>
                    <a:blip r:embed="rId9"/>
                    <a:srcRect/>
                    <a:stretch>
                      <a:fillRect/>
                    </a:stretch>
                  </pic:blipFill>
                  <pic:spPr>
                    <a:xfrm>
                      <a:off x="0" y="0"/>
                      <a:ext cx="2114550" cy="2388870"/>
                    </a:xfrm>
                    <a:prstGeom prst="rect">
                      <a:avLst/>
                    </a:prstGeom>
                    <a:ln/>
                  </pic:spPr>
                </pic:pic>
              </a:graphicData>
            </a:graphic>
          </wp:inline>
        </w:drawing>
      </w:r>
    </w:p>
    <w:p w14:paraId="5FA7E2CC" w14:textId="77777777" w:rsidR="00332A48" w:rsidRDefault="00180294">
      <w:pPr>
        <w:tabs>
          <w:tab w:val="left" w:pos="720"/>
        </w:tabs>
        <w:ind w:left="720"/>
        <w:jc w:val="center"/>
        <w:rPr>
          <w:rFonts w:ascii="Garamond" w:eastAsia="Garamond" w:hAnsi="Garamond" w:cs="Garamond"/>
          <w:sz w:val="20"/>
          <w:szCs w:val="20"/>
        </w:rPr>
      </w:pPr>
      <w:r>
        <w:rPr>
          <w:rFonts w:ascii="Garamond" w:eastAsia="Garamond" w:hAnsi="Garamond" w:cs="Garamond"/>
          <w:sz w:val="20"/>
          <w:szCs w:val="20"/>
        </w:rPr>
        <w:t>“The zip code that a child is born into oftentimes determines their life chances.” (Hillman &amp; Weichman, 2016)</w:t>
      </w:r>
    </w:p>
    <w:p w14:paraId="46B48F77" w14:textId="77777777" w:rsidR="00332A48" w:rsidRDefault="00332A48">
      <w:pPr>
        <w:tabs>
          <w:tab w:val="left" w:pos="720"/>
        </w:tabs>
        <w:spacing w:after="120"/>
        <w:rPr>
          <w:rFonts w:ascii="Garamond" w:eastAsia="Garamond" w:hAnsi="Garamond" w:cs="Garamond"/>
        </w:rPr>
      </w:pPr>
    </w:p>
    <w:p w14:paraId="17F09C87"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04B1A7C9"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area in which the program lies, if applicable.</w:t>
      </w:r>
    </w:p>
    <w:p w14:paraId="2E7E7B19"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Accreditation Board for Engineering and Technology (ABET) provides accreditation to </w:t>
      </w:r>
      <w:r>
        <w:rPr>
          <w:rFonts w:ascii="Garamond" w:eastAsia="Garamond" w:hAnsi="Garamond" w:cs="Garamond"/>
        </w:rPr>
        <w:lastRenderedPageBreak/>
        <w:t>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454546F2"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14:paraId="0DBF9C17"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outcomes and quality assessment (Section 5) specifically include the outcomes and standards set forth by the Criteria for Accrediting Engineering Programs (ABET, 2017b). The courses and course learning outcomes cover the “breadth and depth of engineering and computer science topics” in the Program Criteria for Software and Similarly Named Engineering Programs (ABET, 2017b). Identical to the accreditation criteria, the Software Engineering curriculum includes 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p>
    <w:p w14:paraId="0AD3E098"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If the proposed program is a graduate program in which the institution offers an undergraduate program, proposal should identify whether or not the undergraduate program is accredited and, if not, what would be required to qualify it for accreditation.</w:t>
      </w:r>
    </w:p>
    <w:p w14:paraId="7D5BF092" w14:textId="77777777" w:rsidR="00332A48" w:rsidRDefault="00180294">
      <w:pPr>
        <w:spacing w:after="120"/>
        <w:rPr>
          <w:rFonts w:ascii="Garamond" w:eastAsia="Garamond" w:hAnsi="Garamond" w:cs="Garamond"/>
        </w:rPr>
      </w:pPr>
      <w:r>
        <w:rPr>
          <w:rFonts w:ascii="Garamond" w:eastAsia="Garamond" w:hAnsi="Garamond" w:cs="Garamond"/>
        </w:rPr>
        <w:tab/>
        <w:t>N/A</w:t>
      </w:r>
    </w:p>
    <w:p w14:paraId="4B290A93"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If accreditation is a goal, the proposal should identify the steps being taken to achieve accreditation.  If the program is not seeking accreditation, the proposal should indicate why it is not.</w:t>
      </w:r>
    </w:p>
    <w:p w14:paraId="008774DC" w14:textId="77777777" w:rsidR="00332A48" w:rsidRDefault="00180294">
      <w:pPr>
        <w:spacing w:after="120"/>
        <w:ind w:left="720"/>
        <w:rPr>
          <w:rFonts w:ascii="Garamond" w:eastAsia="Garamond" w:hAnsi="Garamond" w:cs="Garamond"/>
        </w:rPr>
      </w:pPr>
      <w:r>
        <w:rPr>
          <w:rFonts w:ascii="Garamond" w:eastAsia="Garamond" w:hAnsi="Garamond" w:cs="Garamond"/>
        </w:rPr>
        <w:t>Following ABET guidelines, we will record data for the required Self-Study Report during the first three years of the Software Engineering program. We will submit a Request for Evaluation in the third year of the program, and plan to obtain accreditation by the program’s fourth or fifth year of operation (ABET, 2017a).</w:t>
      </w:r>
    </w:p>
    <w:p w14:paraId="679ACC06" w14:textId="77777777" w:rsidR="00332A48" w:rsidRDefault="00332A48">
      <w:pPr>
        <w:rPr>
          <w:rFonts w:ascii="Garamond" w:eastAsia="Garamond" w:hAnsi="Garamond" w:cs="Garamond"/>
        </w:rPr>
      </w:pPr>
    </w:p>
    <w:p w14:paraId="3891F38C" w14:textId="77777777" w:rsidR="00332A48" w:rsidRDefault="00332A48">
      <w:pPr>
        <w:ind w:left="720"/>
        <w:rPr>
          <w:rFonts w:ascii="Garamond" w:eastAsia="Garamond" w:hAnsi="Garamond" w:cs="Garamond"/>
        </w:rPr>
      </w:pPr>
    </w:p>
    <w:p w14:paraId="52392058"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Need</w:t>
      </w:r>
    </w:p>
    <w:p w14:paraId="749AABAE"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6CB918A3"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13F30ABF"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 xml:space="preserve">Characteristics of students to be served (resident/nonresident/international; traditional/ nontraditional; full-time/part-time, etc.). </w:t>
      </w:r>
    </w:p>
    <w:p w14:paraId="6DEFF9A8"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Evidence of market demand.</w:t>
      </w:r>
    </w:p>
    <w:p w14:paraId="2A498BAF"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evidence of need (e.g., surveys, focus groups, documented requests, occupational/employment statistics and forecasts).</w:t>
      </w:r>
    </w:p>
    <w:p w14:paraId="6280708B" w14:textId="77777777" w:rsidR="00332A48" w:rsidRDefault="00180294">
      <w:pPr>
        <w:numPr>
          <w:ilvl w:val="0"/>
          <w:numId w:val="7"/>
        </w:numPr>
        <w:rPr>
          <w:rFonts w:ascii="Garamond" w:eastAsia="Garamond" w:hAnsi="Garamond" w:cs="Garamond"/>
        </w:rPr>
      </w:pPr>
      <w:r>
        <w:rPr>
          <w:rFonts w:ascii="Garamond" w:eastAsia="Garamond" w:hAnsi="Garamond" w:cs="Garamond"/>
        </w:rPr>
        <w:t xml:space="preserve">Estimate the prospects for success of program graduates (employment or graduate school) and consideration of licensure, if appropriate. What are the expected career paths for </w:t>
      </w:r>
      <w:r>
        <w:rPr>
          <w:rFonts w:ascii="Garamond" w:eastAsia="Garamond" w:hAnsi="Garamond" w:cs="Garamond"/>
        </w:rPr>
        <w:lastRenderedPageBreak/>
        <w:t>students in this program?</w:t>
      </w:r>
    </w:p>
    <w:p w14:paraId="746A78A2" w14:textId="77777777" w:rsidR="00332A48" w:rsidRDefault="00332A48">
      <w:pPr>
        <w:ind w:left="720"/>
        <w:rPr>
          <w:rFonts w:ascii="Garamond" w:eastAsia="Garamond" w:hAnsi="Garamond" w:cs="Garamond"/>
        </w:rPr>
      </w:pPr>
    </w:p>
    <w:p w14:paraId="33A2CD86"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7B34C19" w14:textId="77777777" w:rsidR="00332A48" w:rsidRDefault="00180294">
      <w:pPr>
        <w:numPr>
          <w:ilvl w:val="0"/>
          <w:numId w:val="1"/>
        </w:numPr>
        <w:spacing w:after="120"/>
        <w:rPr>
          <w:rFonts w:ascii="Garamond" w:eastAsia="Garamond" w:hAnsi="Garamond" w:cs="Garamond"/>
        </w:rPr>
      </w:pPr>
      <w:r>
        <w:rPr>
          <w:rFonts w:ascii="Garamond" w:eastAsia="Garamond" w:hAnsi="Garamond" w:cs="Garamond"/>
        </w:rPr>
        <w:t>Expected learning outcomes of the program.</w:t>
      </w:r>
    </w:p>
    <w:p w14:paraId="047B1A53" w14:textId="77777777" w:rsidR="00332A48" w:rsidRDefault="00180294">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1ADA152" w14:textId="77777777" w:rsidR="00332A48" w:rsidRDefault="00180294">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7D127EFB" w14:textId="77777777" w:rsidR="00332A48" w:rsidRDefault="00332A48">
      <w:pPr>
        <w:rPr>
          <w:rFonts w:ascii="Garamond" w:eastAsia="Garamond" w:hAnsi="Garamond" w:cs="Garamond"/>
        </w:rPr>
      </w:pPr>
    </w:p>
    <w:p w14:paraId="499E6C3B"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Program Integration and Collaboration</w:t>
      </w:r>
    </w:p>
    <w:p w14:paraId="5DAAE661"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054F401"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62178E5"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not be collaborating with existing similar programs.</w:t>
      </w:r>
    </w:p>
    <w:p w14:paraId="5D27BB50" w14:textId="77777777" w:rsidR="00332A48" w:rsidRDefault="00180294">
      <w:pPr>
        <w:numPr>
          <w:ilvl w:val="0"/>
          <w:numId w:val="2"/>
        </w:numPr>
        <w:rPr>
          <w:rFonts w:ascii="Garamond" w:eastAsia="Garamond" w:hAnsi="Garamond" w:cs="Garamond"/>
        </w:rPr>
      </w:pPr>
      <w:r>
        <w:rPr>
          <w:rFonts w:ascii="Garamond" w:eastAsia="Garamond" w:hAnsi="Garamond" w:cs="Garamond"/>
        </w:rPr>
        <w:t>Potential impacts on other programs.</w:t>
      </w:r>
    </w:p>
    <w:p w14:paraId="5849D749" w14:textId="77777777" w:rsidR="00332A48" w:rsidRDefault="00332A48">
      <w:pPr>
        <w:tabs>
          <w:tab w:val="left" w:pos="360"/>
        </w:tabs>
        <w:rPr>
          <w:rFonts w:ascii="Garamond" w:eastAsia="Garamond" w:hAnsi="Garamond" w:cs="Garamond"/>
        </w:rPr>
      </w:pPr>
    </w:p>
    <w:p w14:paraId="23D4E297" w14:textId="77777777" w:rsidR="00332A48" w:rsidRDefault="00180294">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90570E1" w14:textId="77777777" w:rsidR="00332A48" w:rsidRDefault="00180294">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 addition to completing all of the above information.</w:t>
      </w:r>
    </w:p>
    <w:p w14:paraId="20C84028" w14:textId="77777777" w:rsidR="00332A48" w:rsidRDefault="00332A48">
      <w:pPr>
        <w:rPr>
          <w:rFonts w:ascii="Garamond" w:eastAsia="Garamond" w:hAnsi="Garamond" w:cs="Garamond"/>
        </w:rPr>
      </w:pPr>
    </w:p>
    <w:p w14:paraId="3D51FEE5" w14:textId="77777777" w:rsidR="00332A48" w:rsidRDefault="00332A48">
      <w:pPr>
        <w:rPr>
          <w:rFonts w:ascii="Garamond" w:eastAsia="Garamond" w:hAnsi="Garamond" w:cs="Garamond"/>
        </w:rPr>
      </w:pPr>
    </w:p>
    <w:p w14:paraId="0DAC7228" w14:textId="77777777" w:rsidR="00332A48" w:rsidRDefault="00332A48">
      <w:pPr>
        <w:rPr>
          <w:rFonts w:ascii="Garamond" w:eastAsia="Garamond" w:hAnsi="Garamond" w:cs="Garamond"/>
        </w:rPr>
      </w:pPr>
    </w:p>
    <w:p w14:paraId="2BA42FA4" w14:textId="77777777" w:rsidR="00332A48" w:rsidRDefault="00332A48">
      <w:pPr>
        <w:rPr>
          <w:rFonts w:ascii="Garamond" w:eastAsia="Garamond" w:hAnsi="Garamond" w:cs="Garamond"/>
        </w:rPr>
      </w:pPr>
    </w:p>
    <w:p w14:paraId="54C46884" w14:textId="77777777" w:rsidR="00332A48" w:rsidRDefault="00180294">
      <w:pPr>
        <w:rPr>
          <w:rFonts w:ascii="Garamond" w:eastAsia="Garamond" w:hAnsi="Garamond" w:cs="Garamond"/>
          <w:i/>
          <w:sz w:val="22"/>
          <w:szCs w:val="22"/>
        </w:rPr>
      </w:pPr>
      <w:r>
        <w:rPr>
          <w:rFonts w:ascii="Garamond" w:eastAsia="Garamond" w:hAnsi="Garamond" w:cs="Garamond"/>
          <w:i/>
          <w:sz w:val="22"/>
          <w:szCs w:val="22"/>
        </w:rPr>
        <w:t>Revised May 2016</w:t>
      </w:r>
    </w:p>
    <w:p w14:paraId="0DEA63CD" w14:textId="77777777" w:rsidR="00332A48" w:rsidRDefault="00332A48">
      <w:pPr>
        <w:rPr>
          <w:rFonts w:ascii="Garamond" w:eastAsia="Garamond" w:hAnsi="Garamond" w:cs="Garamond"/>
          <w:i/>
          <w:sz w:val="22"/>
          <w:szCs w:val="22"/>
        </w:rPr>
      </w:pPr>
    </w:p>
    <w:p w14:paraId="74036CC3" w14:textId="77777777" w:rsidR="00332A48" w:rsidRDefault="00332A48">
      <w:pPr>
        <w:rPr>
          <w:rFonts w:ascii="Garamond" w:eastAsia="Garamond" w:hAnsi="Garamond" w:cs="Garamond"/>
          <w:b/>
          <w:sz w:val="22"/>
          <w:szCs w:val="22"/>
        </w:rPr>
      </w:pPr>
    </w:p>
    <w:p w14:paraId="42706502" w14:textId="77777777" w:rsidR="00332A48" w:rsidRDefault="00332A48">
      <w:pPr>
        <w:rPr>
          <w:rFonts w:ascii="Garamond" w:eastAsia="Garamond" w:hAnsi="Garamond" w:cs="Garamond"/>
          <w:b/>
          <w:sz w:val="22"/>
          <w:szCs w:val="22"/>
        </w:rPr>
      </w:pPr>
    </w:p>
    <w:p w14:paraId="6CDFD46B" w14:textId="77777777" w:rsidR="00332A48" w:rsidRDefault="00180294">
      <w:pPr>
        <w:rPr>
          <w:rFonts w:ascii="Garamond" w:eastAsia="Garamond" w:hAnsi="Garamond" w:cs="Garamond"/>
          <w:b/>
          <w:sz w:val="22"/>
          <w:szCs w:val="22"/>
        </w:rPr>
      </w:pPr>
      <w:r>
        <w:br w:type="page"/>
      </w:r>
    </w:p>
    <w:p w14:paraId="61E4ECC7" w14:textId="77777777" w:rsidR="00332A48" w:rsidRDefault="00180294">
      <w:pPr>
        <w:rPr>
          <w:rFonts w:ascii="Garamond" w:eastAsia="Garamond" w:hAnsi="Garamond" w:cs="Garamond"/>
          <w:b/>
          <w:sz w:val="22"/>
          <w:szCs w:val="22"/>
        </w:rPr>
      </w:pPr>
      <w:r>
        <w:rPr>
          <w:rFonts w:ascii="Garamond" w:eastAsia="Garamond" w:hAnsi="Garamond" w:cs="Garamond"/>
          <w:b/>
          <w:sz w:val="22"/>
          <w:szCs w:val="22"/>
        </w:rPr>
        <w:lastRenderedPageBreak/>
        <w:t>References</w:t>
      </w:r>
    </w:p>
    <w:p w14:paraId="265C7B51" w14:textId="77777777" w:rsidR="00332A48" w:rsidRDefault="00332A48">
      <w:pPr>
        <w:rPr>
          <w:rFonts w:ascii="Garamond" w:eastAsia="Garamond" w:hAnsi="Garamond" w:cs="Garamond"/>
          <w:b/>
          <w:sz w:val="22"/>
          <w:szCs w:val="22"/>
        </w:rPr>
      </w:pPr>
    </w:p>
    <w:p w14:paraId="44F390EA"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ABET (2017a). Accreditation Policy and Procedure Manual (APPM), 2017 – 2018. Retrieved from</w:t>
      </w:r>
      <w:hyperlink r:id="rId10">
        <w:r>
          <w:rPr>
            <w:rFonts w:ascii="Garamond" w:eastAsia="Garamond" w:hAnsi="Garamond" w:cs="Garamond"/>
            <w:sz w:val="22"/>
            <w:szCs w:val="22"/>
          </w:rPr>
          <w:t xml:space="preserve"> </w:t>
        </w:r>
      </w:hyperlink>
      <w:r>
        <w:fldChar w:fldCharType="begin"/>
      </w:r>
      <w:r>
        <w:instrText xml:space="preserve"> HYPERLINK "http://www.abet.org/accreditation/accreditation-criteria/accreditation-policy-and-procedure-manual-appm-2017-2018/" </w:instrText>
      </w:r>
      <w:r>
        <w:fldChar w:fldCharType="separate"/>
      </w:r>
      <w:r>
        <w:rPr>
          <w:rFonts w:ascii="Garamond" w:eastAsia="Garamond" w:hAnsi="Garamond" w:cs="Garamond"/>
          <w:color w:val="1155CC"/>
          <w:sz w:val="22"/>
          <w:szCs w:val="22"/>
          <w:u w:val="single"/>
        </w:rPr>
        <w:t>http://www.abet.org/accreditation/accreditation-criteria/accreditation-policy-and-procedure-manual-appm-2017-2018/</w:t>
      </w:r>
    </w:p>
    <w:p w14:paraId="4F0B4D94"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7FAC082B"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ABET (2017b). Criteria for Accrediting Engineering Programs, 2017 – 2018. Retrieved from</w:t>
      </w:r>
      <w:hyperlink r:id="rId11">
        <w:r>
          <w:rPr>
            <w:rFonts w:ascii="Garamond" w:eastAsia="Garamond" w:hAnsi="Garamond" w:cs="Garamond"/>
            <w:sz w:val="22"/>
            <w:szCs w:val="22"/>
          </w:rPr>
          <w:t xml:space="preserve"> </w:t>
        </w:r>
      </w:hyperlink>
      <w:r>
        <w:fldChar w:fldCharType="begin"/>
      </w:r>
      <w:r>
        <w:instrText xml:space="preserve"> HYPERLINK "http://www.abet.org/accreditation/accreditation-criteria/criteria-for-accrediting-engineering-programs-2017-2018/" </w:instrText>
      </w:r>
      <w:r>
        <w:fldChar w:fldCharType="separate"/>
      </w:r>
      <w:r>
        <w:rPr>
          <w:rFonts w:ascii="Garamond" w:eastAsia="Garamond" w:hAnsi="Garamond" w:cs="Garamond"/>
          <w:color w:val="1155CC"/>
          <w:sz w:val="22"/>
          <w:szCs w:val="22"/>
          <w:u w:val="single"/>
        </w:rPr>
        <w:t>http://www.abet.org/accreditation/accreditation-criteria/criteria-for-accrediting-engineering-programs-2017-2018/</w:t>
      </w:r>
    </w:p>
    <w:p w14:paraId="05C25EEC"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0CC03C9C"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Bush, J. &amp; Miller, S. (2017). Analysis of Associations between Motivation and Previous Computer Science Experience, Gender, Ethnicity and Privilege as Observed in a Large Scale Survey of Middle School Students. In </w:t>
      </w:r>
      <w:r>
        <w:rPr>
          <w:rFonts w:ascii="Garamond" w:eastAsia="Garamond" w:hAnsi="Garamond" w:cs="Garamond"/>
          <w:i/>
          <w:sz w:val="22"/>
          <w:szCs w:val="22"/>
        </w:rPr>
        <w:t>Proceedings of the 2017 ACM SIGCSE Technical Symposium on Computer Science Education</w:t>
      </w:r>
      <w:r>
        <w:rPr>
          <w:rFonts w:ascii="Garamond" w:eastAsia="Garamond" w:hAnsi="Garamond" w:cs="Garamond"/>
          <w:sz w:val="22"/>
          <w:szCs w:val="22"/>
        </w:rPr>
        <w:t xml:space="preserve"> (SIGCSE '17). ACM, New York, NY, USA, 705-705. doi:</w:t>
      </w:r>
      <w:hyperlink r:id="rId12">
        <w:r>
          <w:rPr>
            <w:rFonts w:ascii="Garamond" w:eastAsia="Garamond" w:hAnsi="Garamond" w:cs="Garamond"/>
            <w:sz w:val="22"/>
            <w:szCs w:val="22"/>
          </w:rPr>
          <w:t xml:space="preserve"> </w:t>
        </w:r>
      </w:hyperlink>
      <w:r>
        <w:fldChar w:fldCharType="begin"/>
      </w:r>
      <w:r>
        <w:instrText xml:space="preserve"> HYPERLINK "https://doi.org/10.1145/3017680.3022441" </w:instrText>
      </w:r>
      <w:r>
        <w:fldChar w:fldCharType="separate"/>
      </w:r>
      <w:r>
        <w:rPr>
          <w:rFonts w:ascii="Garamond" w:eastAsia="Garamond" w:hAnsi="Garamond" w:cs="Garamond"/>
          <w:color w:val="1155CC"/>
          <w:sz w:val="22"/>
          <w:szCs w:val="22"/>
          <w:u w:val="single"/>
        </w:rPr>
        <w:t>https://doi.org/10.1145/3017680.3022441</w:t>
      </w:r>
    </w:p>
    <w:p w14:paraId="45E1DAFA"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049A8C67"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Cohoon, J. &amp; Tychonievich, L. (2011). Analysis of a CS1 approach for attracting diverse and inexperienced students to computing majors. In </w:t>
      </w:r>
      <w:r>
        <w:rPr>
          <w:rFonts w:ascii="Garamond" w:eastAsia="Garamond" w:hAnsi="Garamond" w:cs="Garamond"/>
          <w:i/>
          <w:sz w:val="22"/>
          <w:szCs w:val="22"/>
        </w:rPr>
        <w:t>Proceedings of the 42nd ACM technical symposium on Computer science education</w:t>
      </w:r>
      <w:r>
        <w:rPr>
          <w:rFonts w:ascii="Garamond" w:eastAsia="Garamond" w:hAnsi="Garamond" w:cs="Garamond"/>
          <w:sz w:val="22"/>
          <w:szCs w:val="22"/>
        </w:rPr>
        <w:t xml:space="preserve"> (SIGCSE '11). ACM, New York, NY, USA, 165-170. doi:</w:t>
      </w:r>
      <w:hyperlink r:id="rId13">
        <w:r>
          <w:rPr>
            <w:rFonts w:ascii="Garamond" w:eastAsia="Garamond" w:hAnsi="Garamond" w:cs="Garamond"/>
            <w:sz w:val="22"/>
            <w:szCs w:val="22"/>
          </w:rPr>
          <w:t xml:space="preserve"> </w:t>
        </w:r>
      </w:hyperlink>
      <w:r>
        <w:fldChar w:fldCharType="begin"/>
      </w:r>
      <w:r>
        <w:instrText xml:space="preserve"> HYPERLINK "http://dx.doi.org/10.1145/1953163.1953217" </w:instrText>
      </w:r>
      <w:r>
        <w:fldChar w:fldCharType="separate"/>
      </w:r>
      <w:r>
        <w:rPr>
          <w:rFonts w:ascii="Garamond" w:eastAsia="Garamond" w:hAnsi="Garamond" w:cs="Garamond"/>
          <w:color w:val="1155CC"/>
          <w:sz w:val="22"/>
          <w:szCs w:val="22"/>
          <w:u w:val="single"/>
        </w:rPr>
        <w:t>http://dx.doi.org/10.1145/1953163.1953217</w:t>
      </w:r>
    </w:p>
    <w:p w14:paraId="38090E41"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4E74AE5A"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Eisenberg M. (2017) Approaching Computer Science Education Through Making. In: Fee S., Holland-Minkley A., Lombardi T. (eds) </w:t>
      </w:r>
      <w:r>
        <w:rPr>
          <w:rFonts w:ascii="Garamond" w:eastAsia="Garamond" w:hAnsi="Garamond" w:cs="Garamond"/>
          <w:i/>
          <w:sz w:val="22"/>
          <w:szCs w:val="22"/>
        </w:rPr>
        <w:t>New Directions for Computing Education</w:t>
      </w:r>
      <w:r>
        <w:rPr>
          <w:rFonts w:ascii="Garamond" w:eastAsia="Garamond" w:hAnsi="Garamond" w:cs="Garamond"/>
          <w:sz w:val="22"/>
          <w:szCs w:val="22"/>
        </w:rPr>
        <w:t>. Springer, Cham.  doi:</w:t>
      </w:r>
      <w:hyperlink r:id="rId14">
        <w:r>
          <w:rPr>
            <w:rFonts w:ascii="Garamond" w:eastAsia="Garamond" w:hAnsi="Garamond" w:cs="Garamond"/>
            <w:sz w:val="22"/>
            <w:szCs w:val="22"/>
          </w:rPr>
          <w:t xml:space="preserve"> </w:t>
        </w:r>
      </w:hyperlink>
      <w:r>
        <w:fldChar w:fldCharType="begin"/>
      </w:r>
      <w:r>
        <w:instrText xml:space="preserve"> HYPERLINK "https://doi.org/10.1007/978-3-319-54226-3_3" </w:instrText>
      </w:r>
      <w:r>
        <w:fldChar w:fldCharType="separate"/>
      </w:r>
      <w:r>
        <w:rPr>
          <w:rFonts w:ascii="Garamond" w:eastAsia="Garamond" w:hAnsi="Garamond" w:cs="Garamond"/>
          <w:color w:val="1155CC"/>
          <w:sz w:val="22"/>
          <w:szCs w:val="22"/>
          <w:u w:val="single"/>
        </w:rPr>
        <w:t>https://doi.org/10.1007/978-3-319-54226-3_3</w:t>
      </w:r>
    </w:p>
    <w:p w14:paraId="6D518B42"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6C5857A3"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Engle, J., Bermeo, A., O’Brien, C. (2006). Straight from the Source: What Works for First-Generation College Students. Washington, DC: Pell Institute for the Study of Opportunity in Higher Education. Retrieved from</w:t>
      </w:r>
      <w:hyperlink r:id="rId15">
        <w:r>
          <w:rPr>
            <w:rFonts w:ascii="Garamond" w:eastAsia="Garamond" w:hAnsi="Garamond" w:cs="Garamond"/>
            <w:sz w:val="22"/>
            <w:szCs w:val="22"/>
          </w:rPr>
          <w:t xml:space="preserve"> </w:t>
        </w:r>
      </w:hyperlink>
      <w:r>
        <w:fldChar w:fldCharType="begin"/>
      </w:r>
      <w:r>
        <w:instrText xml:space="preserve"> HYPERLINK "http://www.pellinstitute.org/downloads/publications-Straight_from_the_Source.pdf" </w:instrText>
      </w:r>
      <w:r>
        <w:fldChar w:fldCharType="separate"/>
      </w:r>
      <w:r>
        <w:rPr>
          <w:rFonts w:ascii="Garamond" w:eastAsia="Garamond" w:hAnsi="Garamond" w:cs="Garamond"/>
          <w:color w:val="1155CC"/>
          <w:sz w:val="22"/>
          <w:szCs w:val="22"/>
          <w:u w:val="single"/>
        </w:rPr>
        <w:t>http://www.pellinstitute.org/downloads/publications-Straight_from_the_Source.pdf</w:t>
      </w:r>
    </w:p>
    <w:p w14:paraId="14270160"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376C8EC6"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Hillman, N. &amp; Weichman, T. (2016). Education Deserts: The Continued Significance of “Place” in the Twenty-First Century. </w:t>
      </w:r>
      <w:r>
        <w:rPr>
          <w:rFonts w:ascii="Garamond" w:eastAsia="Garamond" w:hAnsi="Garamond" w:cs="Garamond"/>
          <w:i/>
          <w:sz w:val="22"/>
          <w:szCs w:val="22"/>
        </w:rPr>
        <w:t>Viewpoints: Voices from the Field</w:t>
      </w:r>
      <w:r>
        <w:rPr>
          <w:rFonts w:ascii="Garamond" w:eastAsia="Garamond" w:hAnsi="Garamond" w:cs="Garamond"/>
          <w:sz w:val="22"/>
          <w:szCs w:val="22"/>
        </w:rPr>
        <w:t>. Washington, DC: American Council on Education. Retrieved from</w:t>
      </w:r>
      <w:hyperlink r:id="rId16">
        <w:r>
          <w:rPr>
            <w:rFonts w:ascii="Garamond" w:eastAsia="Garamond" w:hAnsi="Garamond" w:cs="Garamond"/>
            <w:sz w:val="22"/>
            <w:szCs w:val="22"/>
          </w:rPr>
          <w:t xml:space="preserve"> </w:t>
        </w:r>
      </w:hyperlink>
      <w:r>
        <w:fldChar w:fldCharType="begin"/>
      </w:r>
      <w:r>
        <w:instrText xml:space="preserve"> HYPERLINK "http://www.acenet.edu/news-room/Documents/Education-Deserts-The-Continued-Significance-of-Place-in-the-Twenty-First-Century.pdf" </w:instrText>
      </w:r>
      <w:r>
        <w:fldChar w:fldCharType="separate"/>
      </w:r>
      <w:r>
        <w:rPr>
          <w:rFonts w:ascii="Garamond" w:eastAsia="Garamond" w:hAnsi="Garamond" w:cs="Garamond"/>
          <w:color w:val="1155CC"/>
          <w:sz w:val="22"/>
          <w:szCs w:val="22"/>
          <w:u w:val="single"/>
        </w:rPr>
        <w:t>http://www.acenet.edu/news-room/Documents/Education-Deserts-The-Continued-Significance-of-Place-in-the-Twenty-First-Century.pdf</w:t>
      </w:r>
    </w:p>
    <w:p w14:paraId="5AAE2608"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65F5F485" w14:textId="77777777" w:rsidR="00332A48" w:rsidRDefault="00180294">
      <w:pPr>
        <w:rPr>
          <w:rFonts w:ascii="Garamond" w:eastAsia="Garamond" w:hAnsi="Garamond" w:cs="Garamond"/>
          <w:sz w:val="22"/>
          <w:szCs w:val="22"/>
        </w:rPr>
      </w:pPr>
      <w:r>
        <w:rPr>
          <w:rFonts w:ascii="Garamond" w:eastAsia="Garamond" w:hAnsi="Garamond" w:cs="Garamond"/>
          <w:sz w:val="22"/>
          <w:szCs w:val="22"/>
        </w:rPr>
        <w:t xml:space="preserve">Nagappan, N., Williams, L., Ferzli, M., Wiebe, E., Yang, K., Miller, C., &amp; Balik, S. (2003). Improving the CS1 experience with pair programming. In </w:t>
      </w:r>
      <w:r>
        <w:rPr>
          <w:rFonts w:ascii="Garamond" w:eastAsia="Garamond" w:hAnsi="Garamond" w:cs="Garamond"/>
          <w:i/>
          <w:sz w:val="22"/>
          <w:szCs w:val="22"/>
        </w:rPr>
        <w:t>Proceedings of the 34th SIGCSE technical symposium on Computer science education</w:t>
      </w:r>
      <w:r>
        <w:rPr>
          <w:rFonts w:ascii="Garamond" w:eastAsia="Garamond" w:hAnsi="Garamond" w:cs="Garamond"/>
          <w:sz w:val="22"/>
          <w:szCs w:val="22"/>
        </w:rPr>
        <w:t xml:space="preserve"> (SIGCSE '03). ACM, New York, NY, USA, 359-362. DOI=http://dx.doi.org/10.1145/611892.612006</w:t>
      </w:r>
    </w:p>
    <w:p w14:paraId="27B27693" w14:textId="77777777" w:rsidR="00332A48" w:rsidRDefault="00180294">
      <w:pPr>
        <w:rPr>
          <w:rFonts w:ascii="Garamond" w:eastAsia="Garamond" w:hAnsi="Garamond" w:cs="Garamond"/>
          <w:sz w:val="22"/>
          <w:szCs w:val="22"/>
        </w:rPr>
      </w:pPr>
      <w:r>
        <w:rPr>
          <w:rFonts w:ascii="Garamond" w:eastAsia="Garamond" w:hAnsi="Garamond" w:cs="Garamond"/>
          <w:sz w:val="22"/>
          <w:szCs w:val="22"/>
        </w:rPr>
        <w:t xml:space="preserve"> </w:t>
      </w:r>
    </w:p>
    <w:p w14:paraId="047B9A3B"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Oregon State University (2017). Oregon State University Mission Statement. Retrieved from</w:t>
      </w:r>
      <w:hyperlink r:id="rId17">
        <w:r>
          <w:rPr>
            <w:rFonts w:ascii="Garamond" w:eastAsia="Garamond" w:hAnsi="Garamond" w:cs="Garamond"/>
            <w:sz w:val="22"/>
            <w:szCs w:val="22"/>
          </w:rPr>
          <w:t xml:space="preserve"> </w:t>
        </w:r>
      </w:hyperlink>
      <w:r>
        <w:fldChar w:fldCharType="begin"/>
      </w:r>
      <w:r>
        <w:instrText xml:space="preserve"> HYPERLINK "http://leadership.oregonstate.edu/trustees/oregon-state-university-mission-statement" </w:instrText>
      </w:r>
      <w:r>
        <w:fldChar w:fldCharType="separate"/>
      </w:r>
      <w:r>
        <w:rPr>
          <w:rFonts w:ascii="Garamond" w:eastAsia="Garamond" w:hAnsi="Garamond" w:cs="Garamond"/>
          <w:color w:val="1155CC"/>
          <w:sz w:val="22"/>
          <w:szCs w:val="22"/>
          <w:u w:val="single"/>
        </w:rPr>
        <w:t>http://leadership.oregonstate.edu/trustees/oregon-state-university-mission-statement</w:t>
      </w:r>
    </w:p>
    <w:p w14:paraId="14D87F16"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50902491" w14:textId="77777777" w:rsidR="00332A48" w:rsidRDefault="00180294">
      <w:pPr>
        <w:rPr>
          <w:rFonts w:ascii="Garamond" w:eastAsia="Garamond" w:hAnsi="Garamond" w:cs="Garamond"/>
          <w:sz w:val="22"/>
          <w:szCs w:val="22"/>
        </w:rPr>
      </w:pPr>
      <w:r>
        <w:rPr>
          <w:rFonts w:ascii="Garamond" w:eastAsia="Garamond" w:hAnsi="Garamond" w:cs="Garamond"/>
          <w:sz w:val="22"/>
          <w:szCs w:val="22"/>
        </w:rPr>
        <w:t>Wilson, C., Sudol, L. A., Stephenson, C. &amp; Stehlik, M. 2010. Running on Empty: The Failure to Teach K-12 Computer Science in the Digital Age. The Association for Computing Machinery &amp; The Computer Science Teachers Association. Retrieved from http://runningonempty.acm.org/fullreport2.pdf</w:t>
      </w:r>
    </w:p>
    <w:p w14:paraId="44D7A3A5" w14:textId="77777777" w:rsidR="00332A48" w:rsidRDefault="00332A48">
      <w:pPr>
        <w:rPr>
          <w:rFonts w:ascii="Garamond" w:eastAsia="Garamond" w:hAnsi="Garamond" w:cs="Garamond"/>
          <w:sz w:val="22"/>
          <w:szCs w:val="22"/>
        </w:rPr>
      </w:pPr>
    </w:p>
    <w:sectPr w:rsidR="00332A48">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E9338" w14:textId="77777777" w:rsidR="00C44ACD" w:rsidRDefault="00C44ACD">
      <w:r>
        <w:separator/>
      </w:r>
    </w:p>
  </w:endnote>
  <w:endnote w:type="continuationSeparator" w:id="0">
    <w:p w14:paraId="4663FB45" w14:textId="77777777" w:rsidR="00C44ACD" w:rsidRDefault="00C4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30BF" w14:textId="77777777" w:rsidR="003319EB" w:rsidRDefault="003319EB">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sz w:val="20"/>
        <w:szCs w:val="20"/>
      </w:rPr>
      <w:instrText>PAGE</w:instrText>
    </w:r>
    <w:r>
      <w:rPr>
        <w:rFonts w:ascii="Garamond" w:eastAsia="Garamond" w:hAnsi="Garamond" w:cs="Garamond"/>
        <w:sz w:val="20"/>
        <w:szCs w:val="20"/>
      </w:rPr>
      <w:fldChar w:fldCharType="separate"/>
    </w:r>
    <w:r w:rsidR="00107F9F">
      <w:rPr>
        <w:rFonts w:ascii="Garamond" w:eastAsia="Garamond" w:hAnsi="Garamond" w:cs="Garamond"/>
        <w:noProof/>
        <w:sz w:val="20"/>
        <w:szCs w:val="20"/>
      </w:rPr>
      <w:t>3</w:t>
    </w:r>
    <w:r>
      <w:rPr>
        <w:rFonts w:ascii="Garamond" w:eastAsia="Garamond" w:hAnsi="Garamond" w:cs="Garamond"/>
        <w:sz w:val="20"/>
        <w:szCs w:val="20"/>
      </w:rPr>
      <w:fldChar w:fldCharType="end"/>
    </w:r>
  </w:p>
  <w:p w14:paraId="6777E9D3" w14:textId="77777777" w:rsidR="003319EB" w:rsidRDefault="003319EB">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11BC2" w14:textId="77777777" w:rsidR="00C44ACD" w:rsidRDefault="00C44ACD">
      <w:r>
        <w:separator/>
      </w:r>
    </w:p>
  </w:footnote>
  <w:footnote w:type="continuationSeparator" w:id="0">
    <w:p w14:paraId="533328AF" w14:textId="77777777" w:rsidR="00C44ACD" w:rsidRDefault="00C44A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42F"/>
    <w:multiLevelType w:val="multilevel"/>
    <w:tmpl w:val="0B12F24C"/>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8314159"/>
    <w:multiLevelType w:val="multilevel"/>
    <w:tmpl w:val="8D185100"/>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nsid w:val="183C77F6"/>
    <w:multiLevelType w:val="multilevel"/>
    <w:tmpl w:val="DAAA676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26F37A5B"/>
    <w:multiLevelType w:val="multilevel"/>
    <w:tmpl w:val="6B52ABE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BD65895"/>
    <w:multiLevelType w:val="multilevel"/>
    <w:tmpl w:val="047A308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6151163"/>
    <w:multiLevelType w:val="multilevel"/>
    <w:tmpl w:val="636EC81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8CA6D40"/>
    <w:multiLevelType w:val="multilevel"/>
    <w:tmpl w:val="FBE66A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3066C2B"/>
    <w:multiLevelType w:val="multilevel"/>
    <w:tmpl w:val="EE5CE7C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4"/>
  </w:num>
  <w:num w:numId="3">
    <w:abstractNumId w:val="2"/>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2A48"/>
    <w:rsid w:val="00024CB4"/>
    <w:rsid w:val="00026554"/>
    <w:rsid w:val="000A3588"/>
    <w:rsid w:val="00107F9F"/>
    <w:rsid w:val="00180294"/>
    <w:rsid w:val="001F7344"/>
    <w:rsid w:val="002507A1"/>
    <w:rsid w:val="002A2BE2"/>
    <w:rsid w:val="002C3C40"/>
    <w:rsid w:val="003319EB"/>
    <w:rsid w:val="00332A48"/>
    <w:rsid w:val="003610A6"/>
    <w:rsid w:val="003660BC"/>
    <w:rsid w:val="003B4E96"/>
    <w:rsid w:val="004708E8"/>
    <w:rsid w:val="004A4E92"/>
    <w:rsid w:val="00576558"/>
    <w:rsid w:val="006129AD"/>
    <w:rsid w:val="00612C8F"/>
    <w:rsid w:val="00620ABE"/>
    <w:rsid w:val="00645859"/>
    <w:rsid w:val="00657C9F"/>
    <w:rsid w:val="006F3AE0"/>
    <w:rsid w:val="00705DE3"/>
    <w:rsid w:val="007514AA"/>
    <w:rsid w:val="008178B0"/>
    <w:rsid w:val="008A114F"/>
    <w:rsid w:val="008B641D"/>
    <w:rsid w:val="008B7B65"/>
    <w:rsid w:val="008F0F26"/>
    <w:rsid w:val="009D2656"/>
    <w:rsid w:val="00A02C4D"/>
    <w:rsid w:val="00A510AC"/>
    <w:rsid w:val="00B0337B"/>
    <w:rsid w:val="00B059A6"/>
    <w:rsid w:val="00C44ACD"/>
    <w:rsid w:val="00CA5E2C"/>
    <w:rsid w:val="00CB09C6"/>
    <w:rsid w:val="00CB51C5"/>
    <w:rsid w:val="00D64C9A"/>
    <w:rsid w:val="00E3466A"/>
    <w:rsid w:val="00E377AD"/>
    <w:rsid w:val="00E64BE8"/>
    <w:rsid w:val="00FB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7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319E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3752</Words>
  <Characters>21393</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13</cp:revision>
  <dcterms:created xsi:type="dcterms:W3CDTF">2017-09-12T23:36:00Z</dcterms:created>
  <dcterms:modified xsi:type="dcterms:W3CDTF">2017-09-13T00:42:00Z</dcterms:modified>
</cp:coreProperties>
</file>