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w:t>
      </w:r>
      <w:r w:rsidR="00C13E20">
        <w:rPr>
          <w:rFonts w:ascii="Garamond" w:eastAsia="Garamond" w:hAnsi="Garamond" w:cs="Garamond"/>
        </w:rPr>
        <w:t>synthesiz</w:t>
      </w:r>
      <w:r w:rsidR="00C13E20">
        <w:rPr>
          <w:rFonts w:ascii="Garamond" w:eastAsia="Garamond" w:hAnsi="Garamond" w:cs="Garamond"/>
        </w:rPr>
        <w:t>ing</w:t>
      </w:r>
      <w:r w:rsidR="00C13E20">
        <w:rPr>
          <w:rFonts w:ascii="Garamond" w:eastAsia="Garamond" w:hAnsi="Garamond" w:cs="Garamond"/>
        </w:rPr>
        <w:t xml:space="preserve"> fundamental courses</w:t>
      </w:r>
      <w:r w:rsidR="00C13E20">
        <w:rPr>
          <w:rFonts w:ascii="Garamond" w:eastAsia="Garamond" w:hAnsi="Garamond" w:cs="Garamond"/>
        </w:rPr>
        <w:t xml:space="preserve">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2014AD75"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with code, </w:t>
      </w:r>
      <w:r w:rsidR="007E47B6">
        <w:rPr>
          <w:rFonts w:ascii="Garamond" w:eastAsia="Garamond" w:hAnsi="Garamond" w:cs="Garamond"/>
        </w:rPr>
        <w:t xml:space="preserve">long-lasting, </w:t>
      </w:r>
      <w:r w:rsidR="007E47B6">
        <w:rPr>
          <w:rFonts w:ascii="Garamond" w:eastAsia="Garamond" w:hAnsi="Garamond" w:cs="Garamond"/>
        </w:rPr>
        <w:lastRenderedPageBreak/>
        <w:t xml:space="preserve">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proofErr w:type="gramStart"/>
      <w:r w:rsidR="00E3466A">
        <w:rPr>
          <w:rFonts w:ascii="Garamond" w:eastAsia="Garamond" w:hAnsi="Garamond" w:cs="Garamond"/>
        </w:rPr>
        <w:t>in order to</w:t>
      </w:r>
      <w:proofErr w:type="gramEnd"/>
      <w:r w:rsidR="00E3466A">
        <w:rPr>
          <w:rFonts w:ascii="Garamond" w:eastAsia="Garamond" w:hAnsi="Garamond" w:cs="Garamond"/>
        </w:rPr>
        <w:t xml:space="preserve">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7777777"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2BA83E55"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guides students in focusing on </w:t>
      </w:r>
      <w:r>
        <w:rPr>
          <w:rFonts w:ascii="Garamond" w:eastAsia="Garamond" w:hAnsi="Garamond" w:cs="Garamond"/>
        </w:rPr>
        <w:t>scalability, security and operations</w:t>
      </w:r>
      <w:r w:rsidR="00EC462E">
        <w:rPr>
          <w:rFonts w:ascii="Garamond" w:eastAsia="Garamond" w:hAnsi="Garamond" w:cs="Garamond"/>
        </w:rPr>
        <w:t xml:space="preserve"> as they</w:t>
      </w:r>
      <w:r>
        <w:rPr>
          <w:rFonts w:ascii="Garamond" w:eastAsia="Garamond" w:hAnsi="Garamond" w:cs="Garamond"/>
        </w:rPr>
        <w:t xml:space="preserve"> </w:t>
      </w:r>
      <w:r w:rsidR="00EC462E">
        <w:rPr>
          <w:rFonts w:ascii="Garamond" w:eastAsia="Garamond" w:hAnsi="Garamond" w:cs="Garamond"/>
        </w:rPr>
        <w:t>progress toward mastering the software engineering program learning outcomes.</w:t>
      </w:r>
      <w:r>
        <w:rPr>
          <w:rFonts w:ascii="Garamond" w:eastAsia="Garamond" w:hAnsi="Garamond" w:cs="Garamond"/>
        </w:rPr>
        <w:t xml:space="preserve"> </w:t>
      </w:r>
      <w:r w:rsidR="005F67F0">
        <w:rPr>
          <w:rFonts w:ascii="Garamond" w:eastAsia="Garamond" w:hAnsi="Garamond" w:cs="Garamond"/>
        </w:rPr>
        <w:t>Second, a “cornerstone” course, Elements of Computing Systems, teaches students how computation works through the act of building a modern computing stack from the ground up, from logic gates to operating systems. This course, and the prior years’ experiences are</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via existing CS courses</w:t>
      </w:r>
      <w:r>
        <w:rPr>
          <w:rFonts w:ascii="Garamond" w:eastAsia="Garamond" w:hAnsi="Garamond" w:cs="Garamond"/>
        </w:rPr>
        <w:t>.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6D9D586E"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w:t>
            </w:r>
            <w:proofErr w:type="gramStart"/>
            <w:r>
              <w:rPr>
                <w:rFonts w:ascii="Calibri" w:eastAsia="Calibri" w:hAnsi="Calibri" w:cs="Calibri"/>
                <w:sz w:val="20"/>
                <w:szCs w:val="20"/>
              </w:rPr>
              <w:t>Security  III</w:t>
            </w:r>
            <w:proofErr w:type="gramEnd"/>
            <w:r>
              <w:rPr>
                <w:rFonts w:ascii="Calibri" w:eastAsia="Calibri" w:hAnsi="Calibri" w:cs="Calibri"/>
                <w:sz w:val="20"/>
                <w:szCs w:val="20"/>
              </w:rPr>
              <w:t xml:space="preserve">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w:t>
      </w:r>
      <w:proofErr w:type="gramStart"/>
      <w:r w:rsidR="006B515E">
        <w:rPr>
          <w:rFonts w:ascii="Garamond" w:eastAsia="Garamond" w:hAnsi="Garamond" w:cs="Garamond"/>
        </w:rPr>
        <w:t>according to</w:t>
      </w:r>
      <w:proofErr w:type="gramEnd"/>
      <w:r w:rsidR="006B515E">
        <w:rPr>
          <w:rFonts w:ascii="Garamond" w:eastAsia="Garamond" w:hAnsi="Garamond" w:cs="Garamond"/>
        </w:rPr>
        <w:t xml:space="preserve">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w:t>
      </w:r>
      <w:proofErr w:type="gramStart"/>
      <w:r w:rsidR="00D028A8">
        <w:rPr>
          <w:rFonts w:ascii="Garamond" w:eastAsia="Garamond" w:hAnsi="Garamond" w:cs="Garamond"/>
        </w:rPr>
        <w:t>three full-time</w:t>
      </w:r>
      <w:proofErr w:type="gramEnd"/>
      <w:r w:rsidR="00D028A8">
        <w:rPr>
          <w:rFonts w:ascii="Garamond" w:eastAsia="Garamond" w:hAnsi="Garamond" w:cs="Garamond"/>
        </w:rPr>
        <w:t xml:space="preserv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proofErr w:type="gramStart"/>
      <w:r>
        <w:rPr>
          <w:rFonts w:ascii="Garamond" w:eastAsia="Garamond" w:hAnsi="Garamond" w:cs="Garamond"/>
        </w:rPr>
        <w:t>Other</w:t>
      </w:r>
      <w:proofErr w:type="gramEnd"/>
      <w:r>
        <w:rPr>
          <w:rFonts w:ascii="Garamond" w:eastAsia="Garamond" w:hAnsi="Garamond" w:cs="Garamond"/>
        </w:rPr>
        <w:t xml:space="preserve">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 xml:space="preserve">The </w:t>
      </w:r>
      <w:proofErr w:type="gramStart"/>
      <w:r>
        <w:rPr>
          <w:rFonts w:ascii="Garamond" w:eastAsia="Garamond" w:hAnsi="Garamond" w:cs="Garamond"/>
        </w:rPr>
        <w:t>two current</w:t>
      </w:r>
      <w:proofErr w:type="gramEnd"/>
      <w:r>
        <w:rPr>
          <w:rFonts w:ascii="Garamond" w:eastAsia="Garamond" w:hAnsi="Garamond" w:cs="Garamond"/>
        </w:rPr>
        <w:t xml:space="preserve">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571E7C01"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For example,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06172C6D"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An advantage of the proposed SE program is its ability to implement proven pedagogical methods, based on decades of prior research, directly into the 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proofErr w:type="gramStart"/>
      <w:r>
        <w:rPr>
          <w:rFonts w:ascii="Garamond" w:eastAsia="Garamond" w:hAnsi="Garamond" w:cs="Garamond"/>
        </w:rPr>
        <w:t>Manner in which</w:t>
      </w:r>
      <w:proofErr w:type="gramEnd"/>
      <w:r>
        <w:rPr>
          <w:rFonts w:ascii="Garamond" w:eastAsia="Garamond" w:hAnsi="Garamond" w:cs="Garamond"/>
        </w:rPr>
        <w:t xml:space="preserve">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“The zip code that a child is born into oftentimes determines their life chances.” (Hillman &amp; </w:t>
      </w:r>
      <w:proofErr w:type="spellStart"/>
      <w:r>
        <w:rPr>
          <w:rFonts w:ascii="Garamond" w:eastAsia="Garamond" w:hAnsi="Garamond" w:cs="Garamond"/>
          <w:sz w:val="20"/>
          <w:szCs w:val="20"/>
        </w:rPr>
        <w:t>Weichman</w:t>
      </w:r>
      <w:proofErr w:type="spellEnd"/>
      <w:r>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If the proposed program is a graduate program in which the institution offers an undergraduate program, proposal should identify </w:t>
      </w:r>
      <w:proofErr w:type="gramStart"/>
      <w:r>
        <w:rPr>
          <w:rFonts w:ascii="Garamond" w:eastAsia="Garamond" w:hAnsi="Garamond" w:cs="Garamond"/>
        </w:rPr>
        <w:t>whether or not</w:t>
      </w:r>
      <w:proofErr w:type="gramEnd"/>
      <w:r>
        <w:rPr>
          <w:rFonts w:ascii="Garamond" w:eastAsia="Garamond" w:hAnsi="Garamond" w:cs="Garamond"/>
        </w:rPr>
        <w:t xml:space="preserve">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4DD05098"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4BB0B328" w14:textId="54D5DA80" w:rsidR="00132646" w:rsidRDefault="00132646" w:rsidP="008D3748">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34159575" w14:textId="77777777" w:rsidR="00EC7243" w:rsidRDefault="00EC7243" w:rsidP="00EC7243">
      <w:pPr>
        <w:pStyle w:val="ListParagraph"/>
        <w:spacing w:after="120"/>
        <w:ind w:left="1440"/>
        <w:rPr>
          <w:rFonts w:ascii="Garamond" w:eastAsia="Garamond" w:hAnsi="Garamond" w:cs="Garamond"/>
        </w:rPr>
      </w:pPr>
    </w:p>
    <w:tbl>
      <w:tblPr>
        <w:tblW w:w="260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00"/>
        <w:gridCol w:w="1306"/>
      </w:tblGrid>
      <w:tr w:rsidR="00EC7243" w14:paraId="3E7757DB" w14:textId="77777777" w:rsidTr="00EC7243">
        <w:trPr>
          <w:trHeight w:val="320"/>
          <w:jc w:val="center"/>
        </w:trPr>
        <w:tc>
          <w:tcPr>
            <w:tcW w:w="1300" w:type="dxa"/>
            <w:shd w:val="clear" w:color="auto" w:fill="auto"/>
            <w:noWrap/>
            <w:vAlign w:val="bottom"/>
            <w:hideMark/>
          </w:tcPr>
          <w:p w14:paraId="48F2C6B9" w14:textId="77777777" w:rsidR="00EC7243" w:rsidRPr="00EC7243" w:rsidRDefault="00EC7243">
            <w:pPr>
              <w:rPr>
                <w:rFonts w:ascii="Calibri" w:hAnsi="Calibri"/>
                <w:b/>
                <w:bCs/>
                <w:color w:val="000000"/>
                <w:u w:val="single"/>
              </w:rPr>
            </w:pPr>
            <w:r w:rsidRPr="00EC7243">
              <w:rPr>
                <w:rFonts w:ascii="Calibri" w:hAnsi="Calibri"/>
                <w:b/>
                <w:bCs/>
                <w:color w:val="000000"/>
                <w:u w:val="single"/>
              </w:rPr>
              <w:t>Year</w:t>
            </w:r>
          </w:p>
        </w:tc>
        <w:tc>
          <w:tcPr>
            <w:tcW w:w="1300" w:type="dxa"/>
            <w:shd w:val="clear" w:color="auto" w:fill="auto"/>
            <w:noWrap/>
            <w:vAlign w:val="bottom"/>
            <w:hideMark/>
          </w:tcPr>
          <w:p w14:paraId="24BE956E" w14:textId="77777777" w:rsidR="00EC7243" w:rsidRPr="00EC7243" w:rsidRDefault="00EC7243">
            <w:pPr>
              <w:rPr>
                <w:rFonts w:ascii="Calibri" w:hAnsi="Calibri"/>
                <w:b/>
                <w:bCs/>
                <w:color w:val="000000"/>
                <w:u w:val="single"/>
              </w:rPr>
            </w:pPr>
            <w:r w:rsidRPr="00EC7243">
              <w:rPr>
                <w:rFonts w:ascii="Calibri" w:hAnsi="Calibri"/>
                <w:b/>
                <w:bCs/>
                <w:color w:val="000000"/>
                <w:u w:val="single"/>
              </w:rPr>
              <w:t>Headcount</w:t>
            </w:r>
          </w:p>
        </w:tc>
      </w:tr>
      <w:tr w:rsidR="00EC7243" w14:paraId="182C51DD" w14:textId="77777777" w:rsidTr="00EC7243">
        <w:trPr>
          <w:trHeight w:val="320"/>
          <w:jc w:val="center"/>
        </w:trPr>
        <w:tc>
          <w:tcPr>
            <w:tcW w:w="1300" w:type="dxa"/>
            <w:shd w:val="clear" w:color="auto" w:fill="auto"/>
            <w:noWrap/>
            <w:vAlign w:val="bottom"/>
            <w:hideMark/>
          </w:tcPr>
          <w:p w14:paraId="03723D8F" w14:textId="77777777" w:rsidR="00EC7243" w:rsidRDefault="00EC7243" w:rsidP="00EC7243">
            <w:pPr>
              <w:rPr>
                <w:rFonts w:ascii="Calibri" w:hAnsi="Calibri"/>
                <w:color w:val="000000"/>
              </w:rPr>
            </w:pPr>
            <w:r>
              <w:rPr>
                <w:rFonts w:ascii="Calibri" w:hAnsi="Calibri"/>
                <w:color w:val="000000"/>
              </w:rPr>
              <w:t>2019</w:t>
            </w:r>
          </w:p>
        </w:tc>
        <w:tc>
          <w:tcPr>
            <w:tcW w:w="1300" w:type="dxa"/>
            <w:shd w:val="clear" w:color="auto" w:fill="auto"/>
            <w:noWrap/>
            <w:vAlign w:val="bottom"/>
            <w:hideMark/>
          </w:tcPr>
          <w:p w14:paraId="50B057FC" w14:textId="77777777" w:rsidR="00EC7243" w:rsidRDefault="00EC7243" w:rsidP="00EC7243">
            <w:pPr>
              <w:rPr>
                <w:rFonts w:ascii="Calibri" w:hAnsi="Calibri"/>
                <w:color w:val="000000"/>
              </w:rPr>
            </w:pPr>
            <w:r>
              <w:rPr>
                <w:rFonts w:ascii="Calibri" w:hAnsi="Calibri"/>
                <w:color w:val="000000"/>
              </w:rPr>
              <w:t>12</w:t>
            </w:r>
          </w:p>
        </w:tc>
      </w:tr>
      <w:tr w:rsidR="00EC7243" w14:paraId="5A0B328C" w14:textId="77777777" w:rsidTr="00EC7243">
        <w:trPr>
          <w:trHeight w:val="320"/>
          <w:jc w:val="center"/>
        </w:trPr>
        <w:tc>
          <w:tcPr>
            <w:tcW w:w="1300" w:type="dxa"/>
            <w:shd w:val="clear" w:color="auto" w:fill="auto"/>
            <w:noWrap/>
            <w:vAlign w:val="bottom"/>
            <w:hideMark/>
          </w:tcPr>
          <w:p w14:paraId="774D53AA" w14:textId="77777777" w:rsidR="00EC7243" w:rsidRDefault="00EC7243" w:rsidP="00EC7243">
            <w:pPr>
              <w:rPr>
                <w:rFonts w:ascii="Calibri" w:hAnsi="Calibri"/>
                <w:color w:val="000000"/>
              </w:rPr>
            </w:pPr>
            <w:r>
              <w:rPr>
                <w:rFonts w:ascii="Calibri" w:hAnsi="Calibri"/>
                <w:color w:val="000000"/>
              </w:rPr>
              <w:t>2020</w:t>
            </w:r>
          </w:p>
        </w:tc>
        <w:tc>
          <w:tcPr>
            <w:tcW w:w="1300" w:type="dxa"/>
            <w:shd w:val="clear" w:color="auto" w:fill="auto"/>
            <w:noWrap/>
            <w:vAlign w:val="bottom"/>
            <w:hideMark/>
          </w:tcPr>
          <w:p w14:paraId="6C8F8C6D" w14:textId="77777777" w:rsidR="00EC7243" w:rsidRDefault="00EC7243" w:rsidP="00EC7243">
            <w:pPr>
              <w:rPr>
                <w:rFonts w:ascii="Calibri" w:hAnsi="Calibri"/>
                <w:color w:val="000000"/>
              </w:rPr>
            </w:pPr>
            <w:r>
              <w:rPr>
                <w:rFonts w:ascii="Calibri" w:hAnsi="Calibri"/>
                <w:color w:val="000000"/>
              </w:rPr>
              <w:t>25</w:t>
            </w:r>
          </w:p>
        </w:tc>
      </w:tr>
      <w:tr w:rsidR="00EC7243" w14:paraId="0E85E887" w14:textId="77777777" w:rsidTr="00EC7243">
        <w:trPr>
          <w:trHeight w:val="320"/>
          <w:jc w:val="center"/>
        </w:trPr>
        <w:tc>
          <w:tcPr>
            <w:tcW w:w="1300" w:type="dxa"/>
            <w:shd w:val="clear" w:color="auto" w:fill="auto"/>
            <w:noWrap/>
            <w:vAlign w:val="bottom"/>
            <w:hideMark/>
          </w:tcPr>
          <w:p w14:paraId="7A9F15EC" w14:textId="77777777" w:rsidR="00EC7243" w:rsidRDefault="00EC7243" w:rsidP="00EC7243">
            <w:pPr>
              <w:rPr>
                <w:rFonts w:ascii="Calibri" w:hAnsi="Calibri"/>
                <w:color w:val="000000"/>
              </w:rPr>
            </w:pPr>
            <w:r>
              <w:rPr>
                <w:rFonts w:ascii="Calibri" w:hAnsi="Calibri"/>
                <w:color w:val="000000"/>
              </w:rPr>
              <w:t>2021</w:t>
            </w:r>
          </w:p>
        </w:tc>
        <w:tc>
          <w:tcPr>
            <w:tcW w:w="1300" w:type="dxa"/>
            <w:shd w:val="clear" w:color="auto" w:fill="auto"/>
            <w:noWrap/>
            <w:vAlign w:val="bottom"/>
            <w:hideMark/>
          </w:tcPr>
          <w:p w14:paraId="4419029C" w14:textId="77777777" w:rsidR="00EC7243" w:rsidRDefault="00EC7243" w:rsidP="00EC7243">
            <w:pPr>
              <w:rPr>
                <w:rFonts w:ascii="Calibri" w:hAnsi="Calibri"/>
                <w:color w:val="000000"/>
              </w:rPr>
            </w:pPr>
            <w:r>
              <w:rPr>
                <w:rFonts w:ascii="Calibri" w:hAnsi="Calibri"/>
                <w:color w:val="000000"/>
              </w:rPr>
              <w:t>39</w:t>
            </w:r>
          </w:p>
        </w:tc>
      </w:tr>
      <w:tr w:rsidR="00EC7243" w14:paraId="621839B7" w14:textId="77777777" w:rsidTr="00EC7243">
        <w:trPr>
          <w:trHeight w:val="320"/>
          <w:jc w:val="center"/>
        </w:trPr>
        <w:tc>
          <w:tcPr>
            <w:tcW w:w="1300" w:type="dxa"/>
            <w:shd w:val="clear" w:color="auto" w:fill="auto"/>
            <w:noWrap/>
            <w:vAlign w:val="bottom"/>
            <w:hideMark/>
          </w:tcPr>
          <w:p w14:paraId="42362BF4" w14:textId="77777777" w:rsidR="00EC7243" w:rsidRDefault="00EC7243" w:rsidP="00EC7243">
            <w:pPr>
              <w:rPr>
                <w:rFonts w:ascii="Calibri" w:hAnsi="Calibri"/>
                <w:color w:val="000000"/>
              </w:rPr>
            </w:pPr>
            <w:r>
              <w:rPr>
                <w:rFonts w:ascii="Calibri" w:hAnsi="Calibri"/>
                <w:color w:val="000000"/>
              </w:rPr>
              <w:t>2022</w:t>
            </w:r>
          </w:p>
        </w:tc>
        <w:tc>
          <w:tcPr>
            <w:tcW w:w="1300" w:type="dxa"/>
            <w:shd w:val="clear" w:color="auto" w:fill="auto"/>
            <w:noWrap/>
            <w:vAlign w:val="bottom"/>
            <w:hideMark/>
          </w:tcPr>
          <w:p w14:paraId="33411039" w14:textId="77777777" w:rsidR="00EC7243" w:rsidRDefault="00EC7243" w:rsidP="00EC7243">
            <w:pPr>
              <w:rPr>
                <w:rFonts w:ascii="Calibri" w:hAnsi="Calibri"/>
                <w:color w:val="000000"/>
              </w:rPr>
            </w:pPr>
            <w:r>
              <w:rPr>
                <w:rFonts w:ascii="Calibri" w:hAnsi="Calibri"/>
                <w:color w:val="000000"/>
              </w:rPr>
              <w:t>55</w:t>
            </w:r>
          </w:p>
        </w:tc>
      </w:tr>
      <w:tr w:rsidR="00EC7243" w14:paraId="6CA94053" w14:textId="77777777" w:rsidTr="00EC7243">
        <w:trPr>
          <w:trHeight w:val="320"/>
          <w:jc w:val="center"/>
        </w:trPr>
        <w:tc>
          <w:tcPr>
            <w:tcW w:w="1300" w:type="dxa"/>
            <w:shd w:val="clear" w:color="auto" w:fill="auto"/>
            <w:noWrap/>
            <w:vAlign w:val="bottom"/>
            <w:hideMark/>
          </w:tcPr>
          <w:p w14:paraId="566B079B" w14:textId="77777777" w:rsidR="00EC7243" w:rsidRDefault="00EC7243" w:rsidP="00EC7243">
            <w:pPr>
              <w:rPr>
                <w:rFonts w:ascii="Calibri" w:hAnsi="Calibri"/>
                <w:color w:val="000000"/>
              </w:rPr>
            </w:pPr>
            <w:r>
              <w:rPr>
                <w:rFonts w:ascii="Calibri" w:hAnsi="Calibri"/>
                <w:color w:val="000000"/>
              </w:rPr>
              <w:t>2023</w:t>
            </w:r>
          </w:p>
        </w:tc>
        <w:tc>
          <w:tcPr>
            <w:tcW w:w="1300" w:type="dxa"/>
            <w:shd w:val="clear" w:color="auto" w:fill="auto"/>
            <w:noWrap/>
            <w:vAlign w:val="bottom"/>
            <w:hideMark/>
          </w:tcPr>
          <w:p w14:paraId="630FB540" w14:textId="77777777" w:rsidR="00EC7243" w:rsidRDefault="00EC7243" w:rsidP="00EC7243">
            <w:pPr>
              <w:rPr>
                <w:rFonts w:ascii="Calibri" w:hAnsi="Calibri"/>
                <w:color w:val="000000"/>
              </w:rPr>
            </w:pPr>
            <w:r>
              <w:rPr>
                <w:rFonts w:ascii="Calibri" w:hAnsi="Calibri"/>
                <w:color w:val="000000"/>
              </w:rPr>
              <w:t>72</w:t>
            </w:r>
          </w:p>
        </w:tc>
      </w:tr>
    </w:tbl>
    <w:p w14:paraId="1482EFE8" w14:textId="77777777" w:rsidR="008D3748" w:rsidRDefault="008D3748" w:rsidP="008D3748">
      <w:pPr>
        <w:spacing w:after="120"/>
        <w:rPr>
          <w:rFonts w:ascii="Garamond" w:eastAsia="Garamond" w:hAnsi="Garamond" w:cs="Garamond"/>
        </w:rPr>
      </w:pPr>
    </w:p>
    <w:p w14:paraId="3B137329" w14:textId="77777777" w:rsidR="00EC7243" w:rsidRPr="008D3748" w:rsidRDefault="00EC7243" w:rsidP="008D3748">
      <w:pPr>
        <w:spacing w:after="1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w:t>
      </w:r>
      <w:bookmarkStart w:id="1" w:name="_GoBack"/>
      <w:bookmarkEnd w:id="1"/>
      <w:r>
        <w:rPr>
          <w:rFonts w:ascii="Garamond" w:eastAsia="Garamond" w:hAnsi="Garamond" w:cs="Garamond"/>
        </w:rPr>
        <w:t>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lastRenderedPageBreak/>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 xml:space="preserve">in addition to completing </w:t>
      </w:r>
      <w:proofErr w:type="gramStart"/>
      <w:r>
        <w:rPr>
          <w:rFonts w:ascii="Garamond" w:eastAsia="Garamond" w:hAnsi="Garamond" w:cs="Garamond"/>
        </w:rPr>
        <w:t>all of</w:t>
      </w:r>
      <w:proofErr w:type="gramEnd"/>
      <w:r>
        <w:rPr>
          <w:rFonts w:ascii="Garamond" w:eastAsia="Garamond" w:hAnsi="Garamond" w:cs="Garamond"/>
        </w:rPr>
        <w:t xml:space="preserve">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3"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w:t>
      </w:r>
      <w:proofErr w:type="gramStart"/>
      <w:r>
        <w:rPr>
          <w:rFonts w:ascii="Garamond" w:eastAsia="Garamond" w:hAnsi="Garamond" w:cs="Garamond"/>
          <w:sz w:val="22"/>
          <w:szCs w:val="22"/>
        </w:rPr>
        <w:t>Large Scale</w:t>
      </w:r>
      <w:proofErr w:type="gramEnd"/>
      <w:r>
        <w:rPr>
          <w:rFonts w:ascii="Garamond" w:eastAsia="Garamond" w:hAnsi="Garamond" w:cs="Garamond"/>
          <w:sz w:val="22"/>
          <w:szCs w:val="22"/>
        </w:rPr>
        <w:t xml:space="preserv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4">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5">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6">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17">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8">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9">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0"/>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7633F" w14:textId="77777777" w:rsidR="00AE51F3" w:rsidRDefault="00AE51F3">
      <w:r>
        <w:separator/>
      </w:r>
    </w:p>
  </w:endnote>
  <w:endnote w:type="continuationSeparator" w:id="0">
    <w:p w14:paraId="53F63655" w14:textId="77777777" w:rsidR="00AE51F3" w:rsidRDefault="00AE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EC7243">
      <w:rPr>
        <w:rFonts w:ascii="Garamond" w:eastAsia="Garamond" w:hAnsi="Garamond" w:cs="Garamond"/>
        <w:noProof/>
        <w:sz w:val="20"/>
        <w:szCs w:val="20"/>
      </w:rPr>
      <w:t>10</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BEB7A" w14:textId="77777777" w:rsidR="00AE51F3" w:rsidRDefault="00AE51F3">
      <w:r>
        <w:separator/>
      </w:r>
    </w:p>
  </w:footnote>
  <w:footnote w:type="continuationSeparator" w:id="0">
    <w:p w14:paraId="18564051" w14:textId="77777777" w:rsidR="00AE51F3" w:rsidRDefault="00AE51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7BD8"/>
    <w:rsid w:val="00024CB4"/>
    <w:rsid w:val="00026554"/>
    <w:rsid w:val="00030552"/>
    <w:rsid w:val="00081885"/>
    <w:rsid w:val="000A3588"/>
    <w:rsid w:val="00107F9F"/>
    <w:rsid w:val="00132646"/>
    <w:rsid w:val="00165B15"/>
    <w:rsid w:val="00176E7F"/>
    <w:rsid w:val="00180294"/>
    <w:rsid w:val="001F7344"/>
    <w:rsid w:val="00211EBA"/>
    <w:rsid w:val="00212E58"/>
    <w:rsid w:val="002430D9"/>
    <w:rsid w:val="002507A1"/>
    <w:rsid w:val="00260EF4"/>
    <w:rsid w:val="00287BD2"/>
    <w:rsid w:val="00293F0E"/>
    <w:rsid w:val="00295589"/>
    <w:rsid w:val="002A2BE2"/>
    <w:rsid w:val="002C3C40"/>
    <w:rsid w:val="002C779F"/>
    <w:rsid w:val="002D30BB"/>
    <w:rsid w:val="00303501"/>
    <w:rsid w:val="00315A26"/>
    <w:rsid w:val="003241DA"/>
    <w:rsid w:val="003319EB"/>
    <w:rsid w:val="00332A48"/>
    <w:rsid w:val="003610A6"/>
    <w:rsid w:val="003660BC"/>
    <w:rsid w:val="003B4E96"/>
    <w:rsid w:val="003C2054"/>
    <w:rsid w:val="003C272E"/>
    <w:rsid w:val="003C53DC"/>
    <w:rsid w:val="00406BC8"/>
    <w:rsid w:val="00414158"/>
    <w:rsid w:val="00420C31"/>
    <w:rsid w:val="004339AA"/>
    <w:rsid w:val="004601E2"/>
    <w:rsid w:val="004708E8"/>
    <w:rsid w:val="00470904"/>
    <w:rsid w:val="00493E51"/>
    <w:rsid w:val="004A3C35"/>
    <w:rsid w:val="004A4E92"/>
    <w:rsid w:val="004B41D0"/>
    <w:rsid w:val="00514B14"/>
    <w:rsid w:val="0051611E"/>
    <w:rsid w:val="00526373"/>
    <w:rsid w:val="00540988"/>
    <w:rsid w:val="00576558"/>
    <w:rsid w:val="005919EA"/>
    <w:rsid w:val="00592AAF"/>
    <w:rsid w:val="005F67F0"/>
    <w:rsid w:val="006129AD"/>
    <w:rsid w:val="00612C8F"/>
    <w:rsid w:val="00620ABE"/>
    <w:rsid w:val="00645859"/>
    <w:rsid w:val="00657C9F"/>
    <w:rsid w:val="00661BF4"/>
    <w:rsid w:val="00666C86"/>
    <w:rsid w:val="006B515E"/>
    <w:rsid w:val="006F3AE0"/>
    <w:rsid w:val="006F3F52"/>
    <w:rsid w:val="00705DE3"/>
    <w:rsid w:val="007061EC"/>
    <w:rsid w:val="00711DF0"/>
    <w:rsid w:val="007514AA"/>
    <w:rsid w:val="00753291"/>
    <w:rsid w:val="007747CF"/>
    <w:rsid w:val="00776733"/>
    <w:rsid w:val="00776A9D"/>
    <w:rsid w:val="007B0F00"/>
    <w:rsid w:val="007E47B6"/>
    <w:rsid w:val="008178B0"/>
    <w:rsid w:val="00821932"/>
    <w:rsid w:val="0083470B"/>
    <w:rsid w:val="00845DD6"/>
    <w:rsid w:val="00855FDC"/>
    <w:rsid w:val="00871AEC"/>
    <w:rsid w:val="00876422"/>
    <w:rsid w:val="008958F9"/>
    <w:rsid w:val="008A114F"/>
    <w:rsid w:val="008B641D"/>
    <w:rsid w:val="008B7B65"/>
    <w:rsid w:val="008D3748"/>
    <w:rsid w:val="008F0F26"/>
    <w:rsid w:val="0093430F"/>
    <w:rsid w:val="0095635D"/>
    <w:rsid w:val="009B1A6D"/>
    <w:rsid w:val="009B34B5"/>
    <w:rsid w:val="009B3507"/>
    <w:rsid w:val="009D2656"/>
    <w:rsid w:val="00A02C4D"/>
    <w:rsid w:val="00A40A1B"/>
    <w:rsid w:val="00A5058C"/>
    <w:rsid w:val="00A510AC"/>
    <w:rsid w:val="00AE51F3"/>
    <w:rsid w:val="00AF5C4B"/>
    <w:rsid w:val="00B0337B"/>
    <w:rsid w:val="00B059A6"/>
    <w:rsid w:val="00B37957"/>
    <w:rsid w:val="00B77910"/>
    <w:rsid w:val="00BB05C0"/>
    <w:rsid w:val="00BC3C1E"/>
    <w:rsid w:val="00BD7C18"/>
    <w:rsid w:val="00BF6B0F"/>
    <w:rsid w:val="00C13E20"/>
    <w:rsid w:val="00C21529"/>
    <w:rsid w:val="00C44ACD"/>
    <w:rsid w:val="00C54B1D"/>
    <w:rsid w:val="00C61C9B"/>
    <w:rsid w:val="00C672F1"/>
    <w:rsid w:val="00C764B6"/>
    <w:rsid w:val="00C95F1B"/>
    <w:rsid w:val="00CA5E2C"/>
    <w:rsid w:val="00CB09C6"/>
    <w:rsid w:val="00CB51C5"/>
    <w:rsid w:val="00CF6D2A"/>
    <w:rsid w:val="00D028A8"/>
    <w:rsid w:val="00D40DA4"/>
    <w:rsid w:val="00D47D2E"/>
    <w:rsid w:val="00D55462"/>
    <w:rsid w:val="00D636CD"/>
    <w:rsid w:val="00D64C9A"/>
    <w:rsid w:val="00E3466A"/>
    <w:rsid w:val="00E377AD"/>
    <w:rsid w:val="00E64BE8"/>
    <w:rsid w:val="00E85C74"/>
    <w:rsid w:val="00E91E9C"/>
    <w:rsid w:val="00EC462E"/>
    <w:rsid w:val="00EC7243"/>
    <w:rsid w:val="00ED2647"/>
    <w:rsid w:val="00EE5B79"/>
    <w:rsid w:val="00F45E85"/>
    <w:rsid w:val="00F61712"/>
    <w:rsid w:val="00F77BD9"/>
    <w:rsid w:val="00F82110"/>
    <w:rsid w:val="00FA1790"/>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724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www.swebok.org/" TargetMode="External"/><Relationship Id="rId14" Type="http://schemas.openxmlformats.org/officeDocument/2006/relationships/hyperlink" Target="https://doi.org/10.1145/3017680.3022441" TargetMode="External"/><Relationship Id="rId15" Type="http://schemas.openxmlformats.org/officeDocument/2006/relationships/hyperlink" Target="http://dx.doi.org/10.1145/1953163.1953217" TargetMode="External"/><Relationship Id="rId16" Type="http://schemas.openxmlformats.org/officeDocument/2006/relationships/hyperlink" Target="https://doi.org/10.1007/978-3-319-54226-3_3" TargetMode="External"/><Relationship Id="rId17" Type="http://schemas.openxmlformats.org/officeDocument/2006/relationships/hyperlink" Target="http://www.pellinstitute.org/downloads/publications-Straight_from_the_Source.pdf" TargetMode="External"/><Relationship Id="rId18" Type="http://schemas.openxmlformats.org/officeDocument/2006/relationships/hyperlink" Target="http://www.acenet.edu/news-room/Documents/Education-Deserts-The-Continued-Significance-of-Place-in-the-Twenty-First-Century.pdf" TargetMode="External"/><Relationship Id="rId19" Type="http://schemas.openxmlformats.org/officeDocument/2006/relationships/hyperlink" Target="http://leadership.oregonstate.edu/trustees/oregon-state-university-mission-state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13</Pages>
  <Words>4724</Words>
  <Characters>26932</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72</cp:revision>
  <dcterms:created xsi:type="dcterms:W3CDTF">2017-09-12T20:36:00Z</dcterms:created>
  <dcterms:modified xsi:type="dcterms:W3CDTF">2017-11-02T23:47:00Z</dcterms:modified>
</cp:coreProperties>
</file>