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5FE16C13" w14:textId="1C1A7F7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52EFE4C2"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MIS professionals. But more than ever, the world needs people who can build</w:t>
      </w:r>
      <w:r w:rsidR="006F3AE0">
        <w:rPr>
          <w:rFonts w:ascii="Garamond" w:eastAsia="Garamond" w:hAnsi="Garamond" w:cs="Garamond"/>
        </w:rPr>
        <w:t xml:space="preserve">, with code,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7CDA54D8" w:rsidR="003660BC" w:rsidRDefault="003660BC">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w:t>
      </w:r>
      <w:r w:rsidR="00E3466A">
        <w:rPr>
          <w:rFonts w:ascii="Garamond" w:eastAsia="Garamond" w:hAnsi="Garamond" w:cs="Garamond"/>
        </w:rPr>
        <w:lastRenderedPageBreak/>
        <w:t>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the multi-disciplinary study and practice of the technologies, principles, and methodologies in designing, testing, building and maintaining software.</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705DE3">
        <w:rPr>
          <w:rFonts w:ascii="Garamond" w:eastAsia="Garamond" w:hAnsi="Garamond" w:cs="Garamond"/>
        </w:rPr>
        <w:t xml:space="preserve"> (XXX CITE)</w:t>
      </w:r>
      <w:r>
        <w:rPr>
          <w:rFonts w:ascii="Garamond" w:eastAsia="Garamond" w:hAnsi="Garamond" w:cs="Garamond"/>
        </w:rPr>
        <w:t xml:space="preserve">, with meaningful problems </w:t>
      </w:r>
      <w:r w:rsidR="000A3588">
        <w:rPr>
          <w:rFonts w:ascii="Garamond" w:eastAsia="Garamond" w:hAnsi="Garamond" w:cs="Garamond"/>
        </w:rPr>
        <w:t>in</w:t>
      </w:r>
      <w:r>
        <w:rPr>
          <w:rFonts w:ascii="Garamond" w:eastAsia="Garamond" w:hAnsi="Garamond" w:cs="Garamond"/>
        </w:rPr>
        <w:t xml:space="preserve"> </w:t>
      </w:r>
      <w:r w:rsidR="000A3588">
        <w:rPr>
          <w:rFonts w:ascii="Garamond" w:eastAsia="Garamond" w:hAnsi="Garamond" w:cs="Garamond"/>
        </w:rPr>
        <w:t xml:space="preserve">numerous </w:t>
      </w:r>
      <w:r>
        <w:rPr>
          <w:rFonts w:ascii="Garamond" w:eastAsia="Garamond" w:hAnsi="Garamond" w:cs="Garamond"/>
        </w:rPr>
        <w:t>domains</w:t>
      </w:r>
      <w:r w:rsidR="000A3588">
        <w:rPr>
          <w:rFonts w:ascii="Garamond" w:eastAsia="Garamond" w:hAnsi="Garamond" w:cs="Garamond"/>
        </w:rPr>
        <w:t>. As an academic pursuit, software engineering has grown into a body of knowledge that stands on its own (XXX CITE). Y</w:t>
      </w:r>
      <w:r>
        <w:rPr>
          <w:rFonts w:ascii="Garamond" w:eastAsia="Garamond" w:hAnsi="Garamond" w:cs="Garamond"/>
        </w:rPr>
        <w:t xml:space="preserve">et what is higher education doing to educate </w:t>
      </w:r>
      <w:r w:rsidR="000A3588">
        <w:rPr>
          <w:rFonts w:ascii="Garamond" w:eastAsia="Garamond" w:hAnsi="Garamond" w:cs="Garamond"/>
        </w:rPr>
        <w:t>the next generation of software engineers?</w:t>
      </w:r>
      <w:r>
        <w:rPr>
          <w:rFonts w:ascii="Garamond" w:eastAsia="Garamond" w:hAnsi="Garamond" w:cs="Garamond"/>
        </w:rPr>
        <w:t xml:space="preserve"> The answer is, not much.</w:t>
      </w:r>
    </w:p>
    <w:p w14:paraId="65FBEE11" w14:textId="7AC6FE6B" w:rsidR="00332A48" w:rsidRDefault="000A3588">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p>
    <w:p w14:paraId="1FBA50B0" w14:textId="194A5F75" w:rsidR="00332A48" w:rsidRDefault="003610A6" w:rsidP="007514AA">
      <w:pPr>
        <w:spacing w:after="120"/>
        <w:ind w:left="720"/>
        <w:rPr>
          <w:rFonts w:ascii="Garamond" w:eastAsia="Garamond" w:hAnsi="Garamond" w:cs="Garamond"/>
        </w:rPr>
      </w:pPr>
      <w:r>
        <w:rPr>
          <w:rFonts w:ascii="Garamond" w:eastAsia="Garamond" w:hAnsi="Garamond" w:cs="Garamond"/>
        </w:rPr>
        <w:t>The problem with code schools is that they cannot cheat</w:t>
      </w:r>
      <w:r w:rsidR="003660BC">
        <w:rPr>
          <w:rFonts w:ascii="Garamond" w:eastAsia="Garamond" w:hAnsi="Garamond" w:cs="Garamond"/>
        </w:rPr>
        <w:t xml:space="preserve"> time. </w:t>
      </w:r>
      <w:r>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Pr>
          <w:rFonts w:ascii="Garamond" w:eastAsia="Garamond" w:hAnsi="Garamond" w:cs="Garamond"/>
        </w:rPr>
        <w:t xml:space="preserve">, 3) a lack of strong </w:t>
      </w:r>
      <w:r w:rsidR="003660BC">
        <w:rPr>
          <w:rFonts w:ascii="Garamond" w:eastAsia="Garamond" w:hAnsi="Garamond" w:cs="Garamond"/>
        </w:rPr>
        <w:t>critical thinking</w:t>
      </w:r>
      <w:r>
        <w:rPr>
          <w:rFonts w:ascii="Garamond" w:eastAsia="Garamond" w:hAnsi="Garamond" w:cs="Garamond"/>
        </w:rPr>
        <w:t xml:space="preserve"> skills, 4) being trained for a job, rather than having dedication to lifelong </w:t>
      </w:r>
      <w:r w:rsidR="003660BC">
        <w:rPr>
          <w:rFonts w:ascii="Garamond" w:eastAsia="Garamond" w:hAnsi="Garamond" w:cs="Garamond"/>
        </w:rPr>
        <w:t>learning</w:t>
      </w:r>
      <w:r w:rsidR="007514AA">
        <w:rPr>
          <w:rFonts w:ascii="Garamond" w:eastAsia="Garamond" w:hAnsi="Garamond" w:cs="Garamond"/>
        </w:rPr>
        <w:t xml:space="preserve"> (Economist, 2017)</w:t>
      </w:r>
      <w:r>
        <w:rPr>
          <w:rFonts w:ascii="Garamond" w:eastAsia="Garamond" w:hAnsi="Garamond" w:cs="Garamond"/>
        </w:rPr>
        <w:t xml:space="preserve">, and 5) a lack of understanding of computer science fundamentals. This academic program proposal </w:t>
      </w:r>
      <w:r w:rsidR="007514AA">
        <w:rPr>
          <w:rFonts w:ascii="Garamond" w:eastAsia="Garamond" w:hAnsi="Garamond" w:cs="Garamond"/>
        </w:rPr>
        <w:t>avoids these shortcomings with</w:t>
      </w:r>
      <w:r>
        <w:rPr>
          <w:rFonts w:ascii="Garamond" w:eastAsia="Garamond" w:hAnsi="Garamond" w:cs="Garamond"/>
        </w:rPr>
        <w:t xml:space="preserve"> a four-year program in software engineering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77777777" w:rsidR="007514AA" w:rsidRDefault="007514AA" w:rsidP="007514AA">
      <w:pPr>
        <w:spacing w:after="120"/>
        <w:ind w:left="720"/>
        <w:rPr>
          <w:rFonts w:ascii="Garamond" w:eastAsia="Garamond" w:hAnsi="Garamond" w:cs="Garamond"/>
        </w:rPr>
      </w:pPr>
      <w:r>
        <w:rPr>
          <w:rFonts w:ascii="Garamond" w:eastAsia="Garamond" w:hAnsi="Garamond" w:cs="Garamond"/>
        </w:rPr>
        <w:t>The software engineering program differs from computer science in that it emphasizes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curriculum includes high-impact, team- and project-based courses early in the curriculum, followed by computer science courses that explore the most important theoretical topics in computer science.</w:t>
      </w:r>
    </w:p>
    <w:p w14:paraId="5D788F5F" w14:textId="77777777" w:rsidR="007514AA"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 “full stack” application covering the significant topics in software engineering principles and industrial practice. While learning outcomes are not at the mastery level, students repeat this project-based experience going both deeper into all topics as well as focusing on the second year theme of “data”: database management, statistics, data science, data mining, and data visualization.</w:t>
      </w:r>
    </w:p>
    <w:p w14:paraId="7521096C" w14:textId="77777777" w:rsidR="007514AA" w:rsidRDefault="007514AA" w:rsidP="007514AA">
      <w:pPr>
        <w:spacing w:after="120"/>
        <w:ind w:left="720"/>
        <w:rPr>
          <w:rFonts w:ascii="Garamond" w:eastAsia="Garamond" w:hAnsi="Garamond" w:cs="Garamond"/>
        </w:rPr>
      </w:pPr>
      <w:r>
        <w:rPr>
          <w:rFonts w:ascii="Garamond" w:eastAsia="Garamond" w:hAnsi="Garamond" w:cs="Garamond"/>
        </w:rPr>
        <w:t>Year three emphasizes the themes of scalability, security and operations and enables students to continue to move toward mastering the software engineering process. In addition, year three marks a transition: the experience of computer programming and software engineering serves as a foundation for exploring deeper computer science topics. Year four emphasizes entrepreneurship and the business of software, complemented by additional computer science courses.</w:t>
      </w:r>
    </w:p>
    <w:p w14:paraId="25627614" w14:textId="0F73733E"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Lastly, the software engineering program incorporates even more experiential learning and professional practice throughout all four years of the program. The program expects that each student be engaged in a professional apprenticeship, throughout their academic career.</w:t>
      </w:r>
    </w:p>
    <w:p w14:paraId="582FEF69" w14:textId="77777777" w:rsidR="007514AA" w:rsidRDefault="007514AA" w:rsidP="007514AA">
      <w:pPr>
        <w:spacing w:after="120"/>
        <w:ind w:left="720"/>
        <w:rPr>
          <w:rFonts w:ascii="Garamond" w:eastAsia="Garamond" w:hAnsi="Garamond" w:cs="Garamond"/>
        </w:rPr>
      </w:pPr>
      <w:r>
        <w:rPr>
          <w:rFonts w:ascii="Garamond" w:eastAsia="Garamond" w:hAnsi="Garamond" w:cs="Garamond"/>
        </w:rPr>
        <w:t>The program of study follows the degree standards at Oregon State University, incorporating both existing courses and new courses. The “SE” prefix indicates new courses, which are also followed by the CAT II proposal numbers (</w:t>
      </w:r>
      <w:r>
        <w:rPr>
          <w:rFonts w:ascii="Garamond" w:eastAsia="Garamond" w:hAnsi="Garamond" w:cs="Garamond"/>
          <w:color w:val="FF0000"/>
        </w:rPr>
        <w:t>99XXX</w:t>
      </w:r>
      <w:r>
        <w:rPr>
          <w:rFonts w:ascii="Garamond" w:eastAsia="Garamond" w:hAnsi="Garamond" w:cs="Garamond"/>
        </w:rPr>
        <w:t>).</w:t>
      </w:r>
    </w:p>
    <w:p w14:paraId="66B21746" w14:textId="77777777" w:rsidR="00260EF4" w:rsidRDefault="00260EF4" w:rsidP="007514AA">
      <w:pPr>
        <w:spacing w:after="120"/>
        <w:ind w:left="720"/>
        <w:rPr>
          <w:rFonts w:ascii="Garamond" w:eastAsia="Garamond" w:hAnsi="Garamond" w:cs="Garamond"/>
        </w:rPr>
      </w:pPr>
    </w:p>
    <w:p w14:paraId="54080F55" w14:textId="64D730F0" w:rsidR="00A02C4D" w:rsidRDefault="00A02C4D" w:rsidP="009D2656">
      <w:pPr>
        <w:widowControl/>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99XXX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widowControl/>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widowControl/>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58E1D2D6"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Pr>
                <w:rFonts w:ascii="Calibri" w:eastAsia="Calibri" w:hAnsi="Calibri" w:cs="Calibri"/>
                <w:color w:val="C45911"/>
                <w:sz w:val="16"/>
                <w:szCs w:val="16"/>
              </w:rPr>
              <w:t>(99XXX)</w:t>
            </w:r>
          </w:p>
          <w:p w14:paraId="1A4703C6" w14:textId="1161F4B0"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Pr>
                <w:rFonts w:ascii="Calibri" w:eastAsia="Calibri" w:hAnsi="Calibri" w:cs="Calibri"/>
                <w:color w:val="C45911"/>
                <w:sz w:val="16"/>
                <w:szCs w:val="16"/>
              </w:rPr>
              <w:t>(99XXX)</w:t>
            </w:r>
          </w:p>
          <w:p w14:paraId="316891AE" w14:textId="77777777"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Pr>
                <w:rFonts w:ascii="Calibri" w:eastAsia="Calibri" w:hAnsi="Calibri" w:cs="Calibri"/>
                <w:color w:val="C45911"/>
                <w:sz w:val="16"/>
                <w:szCs w:val="16"/>
              </w:rPr>
              <w:t>(99XXX)</w:t>
            </w:r>
          </w:p>
          <w:p w14:paraId="13A99662"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widowControl/>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774E5780"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Pr>
                <w:rFonts w:ascii="Calibri" w:eastAsia="Calibri" w:hAnsi="Calibri" w:cs="Calibri"/>
                <w:color w:val="C45911"/>
                <w:sz w:val="16"/>
                <w:szCs w:val="16"/>
              </w:rPr>
              <w:t>(99XXX)</w:t>
            </w:r>
          </w:p>
          <w:p w14:paraId="586D6DAF" w14:textId="3EEE43EA"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Pr>
                <w:rFonts w:ascii="Calibri" w:eastAsia="Calibri" w:hAnsi="Calibri" w:cs="Calibri"/>
                <w:color w:val="C45911"/>
                <w:sz w:val="16"/>
                <w:szCs w:val="16"/>
              </w:rPr>
              <w:t>(99XXX)</w:t>
            </w:r>
          </w:p>
          <w:p w14:paraId="7915AAD6" w14:textId="77777777"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Pr>
                <w:rFonts w:ascii="Calibri" w:eastAsia="Calibri" w:hAnsi="Calibri" w:cs="Calibri"/>
                <w:color w:val="C45911"/>
                <w:sz w:val="16"/>
                <w:szCs w:val="16"/>
              </w:rPr>
              <w:t>(99XXX)</w:t>
            </w:r>
          </w:p>
          <w:p w14:paraId="01EE633E"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widowControl/>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widowControl/>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2786BA48"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Pr>
                <w:rFonts w:ascii="Calibri" w:eastAsia="Calibri" w:hAnsi="Calibri" w:cs="Calibri"/>
                <w:color w:val="C45911"/>
                <w:sz w:val="16"/>
                <w:szCs w:val="16"/>
              </w:rPr>
              <w:t>(99XXX)</w:t>
            </w:r>
          </w:p>
          <w:p w14:paraId="67AC7BE3" w14:textId="6354309A"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Pr>
                <w:rFonts w:ascii="Calibri" w:eastAsia="Calibri" w:hAnsi="Calibri" w:cs="Calibri"/>
                <w:color w:val="C45911"/>
                <w:sz w:val="16"/>
                <w:szCs w:val="16"/>
              </w:rPr>
              <w:t>(99XXX)</w:t>
            </w:r>
          </w:p>
          <w:p w14:paraId="5F199DA3" w14:textId="44E43771"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F77BD9">
              <w:rPr>
                <w:rFonts w:ascii="Calibri" w:eastAsia="Calibri" w:hAnsi="Calibri" w:cs="Calibri"/>
                <w:color w:val="C45911"/>
                <w:sz w:val="16"/>
                <w:szCs w:val="16"/>
              </w:rPr>
              <w:t>(99XXX)</w:t>
            </w:r>
          </w:p>
          <w:p w14:paraId="74C15ED0"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widowControl/>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widowControl/>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Pr>
                <w:rFonts w:ascii="Calibri" w:eastAsia="Calibri" w:hAnsi="Calibri" w:cs="Calibri"/>
                <w:color w:val="C45911"/>
                <w:sz w:val="16"/>
                <w:szCs w:val="16"/>
              </w:rPr>
              <w:t>(99XXX)</w:t>
            </w:r>
          </w:p>
          <w:p w14:paraId="793E9285"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Pr>
                <w:rFonts w:ascii="Calibri" w:eastAsia="Calibri" w:hAnsi="Calibri" w:cs="Calibri"/>
                <w:color w:val="C45911"/>
                <w:sz w:val="16"/>
                <w:szCs w:val="16"/>
              </w:rPr>
              <w:t>(99XXX)</w:t>
            </w:r>
          </w:p>
          <w:p w14:paraId="7087F3F2"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widowControl/>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lastRenderedPageBreak/>
              <w:t xml:space="preserve">SE 212: Data Science Engineering II (6) </w:t>
            </w:r>
            <w:r>
              <w:rPr>
                <w:rFonts w:ascii="Calibri" w:eastAsia="Calibri" w:hAnsi="Calibri" w:cs="Calibri"/>
                <w:color w:val="C45911"/>
                <w:sz w:val="16"/>
                <w:szCs w:val="16"/>
              </w:rPr>
              <w:t>(99XXX)</w:t>
            </w:r>
          </w:p>
          <w:p w14:paraId="73DC43B6" w14:textId="20ADC17A"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F77BD9">
              <w:rPr>
                <w:rFonts w:ascii="Calibri" w:eastAsia="Calibri" w:hAnsi="Calibri" w:cs="Calibri"/>
                <w:color w:val="C45911"/>
                <w:sz w:val="16"/>
                <w:szCs w:val="16"/>
              </w:rPr>
              <w:t>(99XXX)</w:t>
            </w:r>
          </w:p>
          <w:p w14:paraId="641EA5C9"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widowControl/>
              <w:spacing w:after="120"/>
              <w:rPr>
                <w:rFonts w:ascii="Calibri" w:eastAsia="Calibri" w:hAnsi="Calibri" w:cs="Calibri"/>
              </w:rPr>
            </w:pPr>
            <w:r>
              <w:rPr>
                <w:rFonts w:ascii="Calibri" w:eastAsia="Calibri" w:hAnsi="Calibri" w:cs="Calibri"/>
              </w:rPr>
              <w:lastRenderedPageBreak/>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Pr>
                <w:rFonts w:ascii="Calibri" w:eastAsia="Calibri" w:hAnsi="Calibri" w:cs="Calibri"/>
                <w:color w:val="C45911"/>
                <w:sz w:val="16"/>
                <w:szCs w:val="16"/>
              </w:rPr>
              <w:t>(99XXX)</w:t>
            </w:r>
          </w:p>
          <w:p w14:paraId="66AEAF6C" w14:textId="0D340B9A"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F77BD9">
              <w:rPr>
                <w:rFonts w:ascii="Calibri" w:eastAsia="Calibri" w:hAnsi="Calibri" w:cs="Calibri"/>
                <w:color w:val="C45911"/>
                <w:sz w:val="16"/>
                <w:szCs w:val="16"/>
              </w:rPr>
              <w:t>(99XXX)</w:t>
            </w:r>
          </w:p>
          <w:p w14:paraId="568CA0F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widowControl/>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widowControl/>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77777777"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Pr>
                <w:rFonts w:ascii="Calibri" w:eastAsia="Calibri" w:hAnsi="Calibri" w:cs="Calibri"/>
                <w:color w:val="C45911"/>
                <w:sz w:val="16"/>
                <w:szCs w:val="16"/>
              </w:rPr>
              <w:t>(99XXX)</w:t>
            </w:r>
          </w:p>
          <w:p w14:paraId="6F3EAF7E" w14:textId="77777777"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Pr>
                <w:rFonts w:ascii="Calibri" w:eastAsia="Calibri" w:hAnsi="Calibri" w:cs="Calibri"/>
                <w:color w:val="C45911"/>
                <w:sz w:val="16"/>
                <w:szCs w:val="16"/>
              </w:rPr>
              <w:t>(99XXX)</w:t>
            </w:r>
          </w:p>
          <w:p w14:paraId="52DF66BD" w14:textId="77777777"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Pr>
                <w:rFonts w:ascii="Calibri" w:eastAsia="Calibri" w:hAnsi="Calibri" w:cs="Calibri"/>
                <w:color w:val="C45911"/>
                <w:sz w:val="16"/>
                <w:szCs w:val="16"/>
              </w:rPr>
              <w:t>(99XXX)</w:t>
            </w:r>
          </w:p>
          <w:p w14:paraId="5F754523"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widowControl/>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Pr>
                <w:rFonts w:ascii="Calibri" w:eastAsia="Calibri" w:hAnsi="Calibri" w:cs="Calibri"/>
                <w:color w:val="C45911"/>
                <w:sz w:val="16"/>
                <w:szCs w:val="16"/>
              </w:rPr>
              <w:t>(99XXX)</w:t>
            </w:r>
          </w:p>
          <w:p w14:paraId="3E4D64FD"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Pr>
                <w:rFonts w:ascii="Calibri" w:eastAsia="Calibri" w:hAnsi="Calibri" w:cs="Calibri"/>
                <w:color w:val="C45911"/>
                <w:sz w:val="16"/>
                <w:szCs w:val="16"/>
              </w:rPr>
              <w:t>(99XXX)</w:t>
            </w:r>
          </w:p>
          <w:p w14:paraId="3A280637" w14:textId="3BFB14D3"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47CF">
              <w:rPr>
                <w:rFonts w:ascii="Calibri" w:eastAsia="Calibri" w:hAnsi="Calibri" w:cs="Calibri"/>
                <w:color w:val="C45911"/>
                <w:sz w:val="16"/>
                <w:szCs w:val="16"/>
              </w:rPr>
              <w:t>(99XXX)</w:t>
            </w:r>
          </w:p>
          <w:p w14:paraId="2C8350B0"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widowControl/>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7777777"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Pr>
                <w:rFonts w:ascii="Calibri" w:eastAsia="Calibri" w:hAnsi="Calibri" w:cs="Calibri"/>
                <w:color w:val="C45911"/>
                <w:sz w:val="16"/>
                <w:szCs w:val="16"/>
              </w:rPr>
              <w:t>(99XXX)</w:t>
            </w:r>
          </w:p>
          <w:p w14:paraId="342DF731" w14:textId="77777777"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313: Scalability, Infrastructure and </w:t>
            </w:r>
            <w:proofErr w:type="gramStart"/>
            <w:r>
              <w:rPr>
                <w:rFonts w:ascii="Calibri" w:eastAsia="Calibri" w:hAnsi="Calibri" w:cs="Calibri"/>
                <w:sz w:val="20"/>
                <w:szCs w:val="20"/>
              </w:rPr>
              <w:t>Security  III</w:t>
            </w:r>
            <w:proofErr w:type="gramEnd"/>
            <w:r>
              <w:rPr>
                <w:rFonts w:ascii="Calibri" w:eastAsia="Calibri" w:hAnsi="Calibri" w:cs="Calibri"/>
                <w:sz w:val="20"/>
                <w:szCs w:val="20"/>
              </w:rPr>
              <w:t xml:space="preserve"> (6) </w:t>
            </w:r>
            <w:r>
              <w:rPr>
                <w:rFonts w:ascii="Calibri" w:eastAsia="Calibri" w:hAnsi="Calibri" w:cs="Calibri"/>
                <w:color w:val="C45911"/>
                <w:sz w:val="16"/>
                <w:szCs w:val="16"/>
              </w:rPr>
              <w:t>(99XXX)</w:t>
            </w:r>
          </w:p>
          <w:p w14:paraId="6270E8E4" w14:textId="2A5AC99B"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47CF">
              <w:rPr>
                <w:rFonts w:ascii="Calibri" w:eastAsia="Calibri" w:hAnsi="Calibri" w:cs="Calibri"/>
                <w:color w:val="C45911"/>
                <w:sz w:val="16"/>
                <w:szCs w:val="16"/>
              </w:rPr>
              <w:t>(99XXX)</w:t>
            </w:r>
          </w:p>
          <w:p w14:paraId="20A367B8" w14:textId="77777777"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widowControl/>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widowControl/>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widowControl/>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Pr>
                <w:rFonts w:ascii="Calibri" w:eastAsia="Calibri" w:hAnsi="Calibri" w:cs="Calibri"/>
                <w:color w:val="C45911"/>
                <w:sz w:val="16"/>
                <w:szCs w:val="16"/>
              </w:rPr>
              <w:t>(99XXX)</w:t>
            </w:r>
          </w:p>
          <w:p w14:paraId="4DCF2AE4"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Pr>
                <w:rFonts w:ascii="Calibri" w:eastAsia="Calibri" w:hAnsi="Calibri" w:cs="Calibri"/>
                <w:color w:val="C45911"/>
                <w:sz w:val="16"/>
                <w:szCs w:val="16"/>
              </w:rPr>
              <w:t>(99XXX)</w:t>
            </w:r>
          </w:p>
          <w:p w14:paraId="5748CB1A"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widowControl/>
              <w:spacing w:after="120"/>
              <w:rPr>
                <w:rFonts w:ascii="Calibri" w:eastAsia="Calibri" w:hAnsi="Calibri" w:cs="Calibri"/>
                <w:sz w:val="20"/>
                <w:szCs w:val="20"/>
              </w:rPr>
            </w:pPr>
            <w:r>
              <w:rPr>
                <w:rFonts w:ascii="Calibri" w:eastAsia="Calibri" w:hAnsi="Calibri" w:cs="Calibri"/>
              </w:rPr>
              <w:lastRenderedPageBreak/>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Pr>
                <w:rFonts w:ascii="Calibri" w:eastAsia="Calibri" w:hAnsi="Calibri" w:cs="Calibri"/>
                <w:color w:val="C45911"/>
                <w:sz w:val="16"/>
                <w:szCs w:val="16"/>
              </w:rPr>
              <w:t>(99XXX)</w:t>
            </w:r>
          </w:p>
          <w:p w14:paraId="777BB9B9" w14:textId="114FA6C4"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3C53DC">
              <w:rPr>
                <w:rFonts w:ascii="Calibri" w:eastAsia="Calibri" w:hAnsi="Calibri" w:cs="Calibri"/>
                <w:color w:val="C45911"/>
                <w:sz w:val="16"/>
                <w:szCs w:val="16"/>
              </w:rPr>
              <w:t>(99XXX)</w:t>
            </w:r>
          </w:p>
          <w:p w14:paraId="33228360"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widowControl/>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Pr>
                <w:rFonts w:ascii="Calibri" w:eastAsia="Calibri" w:hAnsi="Calibri" w:cs="Calibri"/>
                <w:color w:val="C45911"/>
                <w:sz w:val="16"/>
                <w:szCs w:val="16"/>
              </w:rPr>
              <w:t>(99XXX)</w:t>
            </w:r>
          </w:p>
          <w:p w14:paraId="39DE0509" w14:textId="37BD59F0"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3C53DC">
              <w:rPr>
                <w:rFonts w:ascii="Calibri" w:eastAsia="Calibri" w:hAnsi="Calibri" w:cs="Calibri"/>
                <w:color w:val="C45911"/>
                <w:sz w:val="16"/>
                <w:szCs w:val="16"/>
              </w:rPr>
              <w:t>(99XXX)</w:t>
            </w:r>
          </w:p>
          <w:p w14:paraId="1C72D30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widowControl/>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162EBB7A" w:rsidR="00332A48" w:rsidRDefault="00180294" w:rsidP="009D2656">
      <w:pPr>
        <w:widowControl/>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99XXX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23F807EA" w14:textId="19F70C4E"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services, such as cloud-based hosting,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Adequacy and quality of faculty delivering the program.</w:t>
      </w:r>
    </w:p>
    <w:p w14:paraId="02413E93" w14:textId="402E94B5"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w:t>
      </w:r>
      <w:r w:rsidR="00D028A8">
        <w:rPr>
          <w:rFonts w:ascii="Garamond" w:eastAsia="Garamond" w:hAnsi="Garamond" w:cs="Garamond"/>
        </w:rPr>
        <w:t xml:space="preserve">, OSU-Cascades will hire one additional full-time faculty member, specializing in the </w:t>
      </w:r>
      <w:r w:rsidR="00D028A8">
        <w:rPr>
          <w:rFonts w:ascii="Garamond" w:eastAsia="Garamond" w:hAnsi="Garamond" w:cs="Garamond"/>
        </w:rPr>
        <w:t>field of software engineering, b</w:t>
      </w:r>
      <w:r w:rsidR="00D028A8">
        <w:rPr>
          <w:rFonts w:ascii="Garamond" w:eastAsia="Garamond" w:hAnsi="Garamond" w:cs="Garamond"/>
        </w:rPr>
        <w:t>efore the first year of the software engineering program</w:t>
      </w:r>
      <w:r w:rsidR="00D028A8">
        <w:rPr>
          <w:rFonts w:ascii="Garamond" w:eastAsia="Garamond" w:hAnsi="Garamond" w:cs="Garamond"/>
        </w:rPr>
        <w:t>. During the transition, these three full-time faculty will teach part of the remaining computer science courses and the new software engineering courses. 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3FDEF42"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 xml:space="preserve">107,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2E0C25B" w14:textId="06DFB5D1"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Third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D5ED7E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311, 312, 313</w:t>
      </w:r>
      <w:r>
        <w:rPr>
          <w:rFonts w:ascii="Garamond" w:eastAsia="Garamond" w:hAnsi="Garamond" w:cs="Garamond"/>
        </w:rPr>
        <w:t>, 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 xml:space="preserve">OSU-Cascades has successfully employed software professionals employed in Bend, specializing in </w:t>
      </w:r>
      <w:r>
        <w:rPr>
          <w:rFonts w:ascii="Garamond" w:eastAsia="Garamond" w:hAnsi="Garamond" w:cs="Garamond"/>
        </w:rPr>
        <w:t>software engineering</w:t>
      </w:r>
      <w:r>
        <w:rPr>
          <w:rFonts w:ascii="Garamond" w:eastAsia="Garamond" w:hAnsi="Garamond" w:cs="Garamond"/>
        </w:rPr>
        <w:t>, usability, networking, security, web and mobile software development, and computer science topics.</w:t>
      </w:r>
    </w:p>
    <w:p w14:paraId="26262F34" w14:textId="56DDF0BD" w:rsidR="00A5058C" w:rsidRPr="00A5058C" w:rsidRDefault="00A5058C" w:rsidP="00A5058C">
      <w:pPr>
        <w:pStyle w:val="ListParagraph"/>
        <w:numPr>
          <w:ilvl w:val="1"/>
          <w:numId w:val="9"/>
        </w:numPr>
        <w:spacing w:after="120"/>
        <w:rPr>
          <w:rFonts w:ascii="Garamond" w:eastAsia="Garamond" w:hAnsi="Garamond" w:cs="Garamond"/>
        </w:rPr>
      </w:pPr>
      <w:r w:rsidRPr="00A5058C">
        <w:rPr>
          <w:rFonts w:ascii="Garamond" w:eastAsia="Garamond" w:hAnsi="Garamond" w:cs="Garamond"/>
        </w:rPr>
        <w:t xml:space="preserve">Teaching </w:t>
      </w:r>
      <w:r w:rsidRPr="00A5058C">
        <w:rPr>
          <w:rFonts w:ascii="Garamond" w:eastAsia="Garamond" w:hAnsi="Garamond" w:cs="Garamond"/>
        </w:rPr>
        <w:t>SE 411, 412, 413</w:t>
      </w:r>
      <w:r>
        <w:rPr>
          <w:rFonts w:ascii="Garamond" w:eastAsia="Garamond" w:hAnsi="Garamond" w:cs="Garamond"/>
        </w:rPr>
        <w:t xml:space="preserve">, and </w:t>
      </w:r>
      <w:r w:rsidRPr="00A5058C">
        <w:rPr>
          <w:rFonts w:ascii="Garamond" w:eastAsia="Garamond" w:hAnsi="Garamond" w:cs="Garamond"/>
        </w:rPr>
        <w:t>CS 391</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 xml:space="preserve">The two current full-time faculty currently occupy individual offices, and OSU-Cascades has an additional office for the third full-time faculty. Part-time faculty do not require dedicated </w:t>
      </w:r>
      <w:r>
        <w:rPr>
          <w:rFonts w:ascii="Garamond" w:eastAsia="Garamond" w:hAnsi="Garamond" w:cs="Garamond"/>
        </w:rPr>
        <w:lastRenderedPageBreak/>
        <w:t>office space.</w:t>
      </w:r>
    </w:p>
    <w:p w14:paraId="27E65F71" w14:textId="4A75C901"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The program ideally utilizes the “Learning Studio” on the OSU-Cascades campus</w:t>
      </w:r>
      <w:r w:rsidR="00493E51">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2FEC4BDD" w14:textId="71CF2468" w:rsidR="00EE5B79" w:rsidRPr="00EE5B79" w:rsidRDefault="00EE5B79" w:rsidP="00EE5B79">
      <w:pPr>
        <w:spacing w:after="120"/>
        <w:ind w:left="720"/>
        <w:rPr>
          <w:rFonts w:ascii="Garamond" w:eastAsia="Garamond" w:hAnsi="Garamond" w:cs="Garamond"/>
        </w:rPr>
      </w:pPr>
      <w:r>
        <w:rPr>
          <w:rFonts w:ascii="Garamond" w:eastAsia="Garamond" w:hAnsi="Garamond" w:cs="Garamond"/>
        </w:rPr>
        <w:t>but any existing classrooms are sufficient</w:t>
      </w:r>
      <w:r w:rsidRPr="00EE5B79">
        <w:rPr>
          <w:rFonts w:ascii="Garamond" w:eastAsia="Garamond" w:hAnsi="Garamond" w:cs="Garamond"/>
        </w:rPr>
        <w:t xml:space="preserve">. 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719DC73F" w14:textId="4CF1C2E8" w:rsidR="00493E51" w:rsidRDefault="00493E51" w:rsidP="00821932">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ee letter of evaluation).</w:t>
      </w:r>
    </w:p>
    <w:p w14:paraId="39E9C4EF" w14:textId="32B499BA" w:rsidR="00821932" w:rsidRPr="00B77910" w:rsidRDefault="00821932" w:rsidP="00821932">
      <w:pPr>
        <w:spacing w:after="120"/>
        <w:ind w:left="720"/>
        <w:rPr>
          <w:rFonts w:ascii="Garamond" w:eastAsia="Garamond" w:hAnsi="Garamond" w:cs="Garamond"/>
          <w:highlight w:val="yellow"/>
        </w:rPr>
      </w:pPr>
      <w:r w:rsidRPr="00B77910">
        <w:rPr>
          <w:rFonts w:ascii="Garamond" w:eastAsia="Garamond" w:hAnsi="Garamond" w:cs="Garamond"/>
          <w:highlight w:val="yellow"/>
        </w:rPr>
        <w:t xml:space="preserve">TODO: letter from </w:t>
      </w:r>
      <w:r w:rsidR="00711DF0" w:rsidRPr="00B77910">
        <w:rPr>
          <w:rFonts w:ascii="Garamond" w:eastAsia="Garamond" w:hAnsi="Garamond" w:cs="Garamond"/>
          <w:highlight w:val="yellow"/>
        </w:rPr>
        <w:t xml:space="preserve">Laurel </w:t>
      </w:r>
      <w:proofErr w:type="spellStart"/>
      <w:r w:rsidR="00711DF0" w:rsidRPr="00B77910">
        <w:rPr>
          <w:rFonts w:ascii="Garamond" w:eastAsia="Garamond" w:hAnsi="Garamond" w:cs="Garamond"/>
          <w:highlight w:val="yellow"/>
        </w:rPr>
        <w:t>Kristick</w:t>
      </w:r>
      <w:proofErr w:type="spellEnd"/>
    </w:p>
    <w:p w14:paraId="28E54C58" w14:textId="69F389AE" w:rsidR="00711DF0" w:rsidRDefault="00711DF0" w:rsidP="00821932">
      <w:pPr>
        <w:spacing w:after="120"/>
        <w:ind w:left="720"/>
        <w:rPr>
          <w:rFonts w:ascii="Garamond" w:eastAsia="Garamond" w:hAnsi="Garamond" w:cs="Garamond"/>
        </w:rPr>
      </w:pPr>
      <w:r w:rsidRPr="00B77910">
        <w:rPr>
          <w:rFonts w:ascii="Garamond" w:eastAsia="Garamond" w:hAnsi="Garamond" w:cs="Garamond"/>
          <w:highlight w:val="yellow"/>
        </w:rPr>
        <w:t>TODO: letter from Jane Barker</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r>
        <w:rPr>
          <w:rFonts w:ascii="Garamond" w:eastAsia="Garamond" w:hAnsi="Garamond" w:cs="Garamond"/>
        </w:rPr>
        <w:t>.</w:t>
      </w:r>
    </w:p>
    <w:p w14:paraId="00AA60DA" w14:textId="535F7270" w:rsidR="00BC3C1E" w:rsidRDefault="00BC3C1E" w:rsidP="004A3C35">
      <w:pPr>
        <w:spacing w:after="120"/>
        <w:ind w:left="720"/>
        <w:rPr>
          <w:rFonts w:ascii="Garamond" w:eastAsia="Garamond" w:hAnsi="Garamond" w:cs="Garamond"/>
        </w:rPr>
      </w:pPr>
      <w:bookmarkStart w:id="0" w:name="_GoBack"/>
      <w:bookmarkEnd w:id="0"/>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classroom and curriculum design; organizes opportunities for student and faculty outreach into the community of Central Oregon; and integrates economic, social, cultural and environmental issues through world-relevant coursework and professional </w:t>
      </w:r>
      <w:r>
        <w:rPr>
          <w:rFonts w:ascii="Garamond" w:eastAsia="Garamond" w:hAnsi="Garamond" w:cs="Garamond"/>
        </w:rPr>
        <w:lastRenderedPageBreak/>
        <w:t>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and maintainable software systems, which are in high demand across the global economy.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is inherently cross-disciplinary, and positions itself across OSU’s three Signature Areas. For example, students may engineer a software system that transmits, aggregates, mines and visualizes sensor data for river restoration; they may engage with a local medical device company to improve software reliability and security, or build applications that assist the disabled; and, they may integrate new systems, techniques and solutions that they bring to market through their own startup business, creating new jobs and economic growth.</w:t>
      </w:r>
    </w:p>
    <w:p w14:paraId="1DE8A1F9" w14:textId="77777777" w:rsidR="00332A48" w:rsidRDefault="00180294">
      <w:pPr>
        <w:spacing w:after="120"/>
        <w:ind w:left="720"/>
        <w:rPr>
          <w:rFonts w:ascii="Garamond" w:eastAsia="Garamond" w:hAnsi="Garamond" w:cs="Garamond"/>
        </w:rPr>
      </w:pPr>
      <w:r>
        <w:rPr>
          <w:rFonts w:ascii="Garamond" w:eastAsia="Garamond" w:hAnsi="Garamond" w:cs="Garamond"/>
        </w:rPr>
        <w:t>Strategically, one priority for the OSU-Cascades campus is to distinguish itself with innovative, world-class, “destination degree programs” not offered at most institutions. The Software Engineering program exemplifies such a program,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has, as its advantage, the ability to implement effective teaching and learning techniques, and experiences for knowledge creation, based on decades of prior research in engineering and computer science education. Furthermore, the engagement of real-world problems, elicited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lastRenderedPageBreak/>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 xml:space="preserve">respond effectively </w:t>
      </w:r>
      <w:proofErr w:type="gramStart"/>
      <w:r>
        <w:rPr>
          <w:rFonts w:ascii="Garamond" w:eastAsia="Garamond" w:hAnsi="Garamond" w:cs="Garamond"/>
        </w:rPr>
        <w:t>to</w:t>
      </w:r>
      <w:proofErr w:type="gramEnd"/>
      <w:r>
        <w:rPr>
          <w:rFonts w:ascii="Garamond" w:eastAsia="Garamond" w:hAnsi="Garamond" w:cs="Garamond"/>
        </w:rPr>
        <w:t xml:space="preserve">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9"/>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0"/>
                    <a:srcRect/>
                    <a:stretch>
                      <a:fillRect/>
                    </a:stretch>
                  </pic:blipFill>
                  <pic:spPr>
                    <a:xfrm>
                      <a:off x="0" y="0"/>
                      <a:ext cx="2114550" cy="2388870"/>
                    </a:xfrm>
                    <a:prstGeom prst="rect">
                      <a:avLst/>
                    </a:prstGeom>
                    <a:ln/>
                  </pic:spPr>
                </pic:pic>
              </a:graphicData>
            </a:graphic>
          </wp:inline>
        </w:drawing>
      </w:r>
    </w:p>
    <w:p w14:paraId="5FA7E2CC" w14:textId="77777777" w:rsidR="00332A48" w:rsidRDefault="00180294">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“The zip code that a child is born into oftentimes determines their life chances.” (Hillman &amp; </w:t>
      </w:r>
      <w:proofErr w:type="spellStart"/>
      <w:r>
        <w:rPr>
          <w:rFonts w:ascii="Garamond" w:eastAsia="Garamond" w:hAnsi="Garamond" w:cs="Garamond"/>
          <w:sz w:val="20"/>
          <w:szCs w:val="20"/>
        </w:rPr>
        <w:t>Weichman</w:t>
      </w:r>
      <w:proofErr w:type="spellEnd"/>
      <w:r>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outcomes and quality assessment (Section 5) specifically include the outcomes and standards set forth by the Criteria for Accrediting Engineering </w:t>
      </w:r>
      <w:r>
        <w:rPr>
          <w:rFonts w:ascii="Garamond" w:eastAsia="Garamond" w:hAnsi="Garamond" w:cs="Garamond"/>
        </w:rPr>
        <w:lastRenderedPageBreak/>
        <w:t>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lastRenderedPageBreak/>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1">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2">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3">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4">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5">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16">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17">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18">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footerReference w:type="default" r:id="rId19"/>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3D611F" w14:textId="77777777" w:rsidR="00FC085F" w:rsidRDefault="00FC085F">
      <w:r>
        <w:separator/>
      </w:r>
    </w:p>
  </w:endnote>
  <w:endnote w:type="continuationSeparator" w:id="0">
    <w:p w14:paraId="397B2771" w14:textId="77777777" w:rsidR="00FC085F" w:rsidRDefault="00FC0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F45E85">
      <w:rPr>
        <w:rFonts w:ascii="Garamond" w:eastAsia="Garamond" w:hAnsi="Garamond" w:cs="Garamond"/>
        <w:noProof/>
        <w:sz w:val="20"/>
        <w:szCs w:val="20"/>
      </w:rPr>
      <w:t>7</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FEC871" w14:textId="77777777" w:rsidR="00FC085F" w:rsidRDefault="00FC085F">
      <w:r>
        <w:separator/>
      </w:r>
    </w:p>
  </w:footnote>
  <w:footnote w:type="continuationSeparator" w:id="0">
    <w:p w14:paraId="4C1B4D34" w14:textId="77777777" w:rsidR="00FC085F" w:rsidRDefault="00FC08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6"/>
  </w:num>
  <w:num w:numId="6">
    <w:abstractNumId w:val="7"/>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24CB4"/>
    <w:rsid w:val="00026554"/>
    <w:rsid w:val="000A3588"/>
    <w:rsid w:val="00107F9F"/>
    <w:rsid w:val="00180294"/>
    <w:rsid w:val="001F7344"/>
    <w:rsid w:val="002430D9"/>
    <w:rsid w:val="002507A1"/>
    <w:rsid w:val="00260EF4"/>
    <w:rsid w:val="002A2BE2"/>
    <w:rsid w:val="002C3C40"/>
    <w:rsid w:val="002D30BB"/>
    <w:rsid w:val="00315A26"/>
    <w:rsid w:val="003241DA"/>
    <w:rsid w:val="003319EB"/>
    <w:rsid w:val="00332A48"/>
    <w:rsid w:val="003610A6"/>
    <w:rsid w:val="003660BC"/>
    <w:rsid w:val="003B4E96"/>
    <w:rsid w:val="003C53DC"/>
    <w:rsid w:val="004339AA"/>
    <w:rsid w:val="004708E8"/>
    <w:rsid w:val="00493E51"/>
    <w:rsid w:val="004A3C35"/>
    <w:rsid w:val="004A4E92"/>
    <w:rsid w:val="004B41D0"/>
    <w:rsid w:val="00514B14"/>
    <w:rsid w:val="0051611E"/>
    <w:rsid w:val="00576558"/>
    <w:rsid w:val="00592AAF"/>
    <w:rsid w:val="006129AD"/>
    <w:rsid w:val="00612C8F"/>
    <w:rsid w:val="00620ABE"/>
    <w:rsid w:val="00645859"/>
    <w:rsid w:val="00657C9F"/>
    <w:rsid w:val="00661BF4"/>
    <w:rsid w:val="006B515E"/>
    <w:rsid w:val="006F3AE0"/>
    <w:rsid w:val="006F3F52"/>
    <w:rsid w:val="00705DE3"/>
    <w:rsid w:val="00711DF0"/>
    <w:rsid w:val="007514AA"/>
    <w:rsid w:val="007747CF"/>
    <w:rsid w:val="008178B0"/>
    <w:rsid w:val="00821932"/>
    <w:rsid w:val="00845DD6"/>
    <w:rsid w:val="00855FDC"/>
    <w:rsid w:val="008A114F"/>
    <w:rsid w:val="008B641D"/>
    <w:rsid w:val="008B7B65"/>
    <w:rsid w:val="008F0F26"/>
    <w:rsid w:val="0093430F"/>
    <w:rsid w:val="009D2656"/>
    <w:rsid w:val="00A02C4D"/>
    <w:rsid w:val="00A5058C"/>
    <w:rsid w:val="00A510AC"/>
    <w:rsid w:val="00B0337B"/>
    <w:rsid w:val="00B059A6"/>
    <w:rsid w:val="00B77910"/>
    <w:rsid w:val="00BC3C1E"/>
    <w:rsid w:val="00C44ACD"/>
    <w:rsid w:val="00C95F1B"/>
    <w:rsid w:val="00CA5E2C"/>
    <w:rsid w:val="00CB09C6"/>
    <w:rsid w:val="00CB51C5"/>
    <w:rsid w:val="00D028A8"/>
    <w:rsid w:val="00D40DA4"/>
    <w:rsid w:val="00D55462"/>
    <w:rsid w:val="00D64C9A"/>
    <w:rsid w:val="00E3466A"/>
    <w:rsid w:val="00E377AD"/>
    <w:rsid w:val="00E64BE8"/>
    <w:rsid w:val="00EE5B79"/>
    <w:rsid w:val="00F45E85"/>
    <w:rsid w:val="00F77BD9"/>
    <w:rsid w:val="00FB54D8"/>
    <w:rsid w:val="00FC0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A3C35"/>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www.abet.org/accreditation/accreditation-criteria/accreditation-policy-and-procedure-manual-appm-2017-2018/" TargetMode="External"/><Relationship Id="rId12" Type="http://schemas.openxmlformats.org/officeDocument/2006/relationships/hyperlink" Target="http://www.abet.org/accreditation/accreditation-criteria/criteria-for-accrediting-engineering-programs-2017-2018/" TargetMode="External"/><Relationship Id="rId13" Type="http://schemas.openxmlformats.org/officeDocument/2006/relationships/hyperlink" Target="https://doi.org/10.1145/3017680.3022441" TargetMode="External"/><Relationship Id="rId14" Type="http://schemas.openxmlformats.org/officeDocument/2006/relationships/hyperlink" Target="http://dx.doi.org/10.1145/1953163.1953217" TargetMode="External"/><Relationship Id="rId15" Type="http://schemas.openxmlformats.org/officeDocument/2006/relationships/hyperlink" Target="https://doi.org/10.1007/978-3-319-54226-3_3" TargetMode="External"/><Relationship Id="rId16" Type="http://schemas.openxmlformats.org/officeDocument/2006/relationships/hyperlink" Target="http://www.pellinstitute.org/downloads/publications-Straight_from_the_Source.pdf" TargetMode="External"/><Relationship Id="rId17" Type="http://schemas.openxmlformats.org/officeDocument/2006/relationships/hyperlink" Target="http://www.acenet.edu/news-room/Documents/Education-Deserts-The-Continued-Significance-of-Place-in-the-Twenty-First-Century.pdf" TargetMode="External"/><Relationship Id="rId18" Type="http://schemas.openxmlformats.org/officeDocument/2006/relationships/hyperlink" Target="http://leadership.oregonstate.edu/trustees/oregon-state-university-mission-statement"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12</Pages>
  <Words>4364</Words>
  <Characters>24878</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29</cp:revision>
  <dcterms:created xsi:type="dcterms:W3CDTF">2017-09-12T23:36:00Z</dcterms:created>
  <dcterms:modified xsi:type="dcterms:W3CDTF">2017-09-14T00:41:00Z</dcterms:modified>
</cp:coreProperties>
</file>